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_rels/document.xml.rels" ContentType="application/vnd.openxmlformats-package.relationships+xml"/>
  <Override PartName="/word/comments.xml" ContentType="application/vnd.openxmlformats-officedocument.wordprocessingml.comments+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pPr>
      <w:r>
        <w:rPr>
          <w:b/>
          <w:bCs/>
          <w:sz w:val="34"/>
          <w:szCs w:val="34"/>
        </w:rPr>
        <w:t>Mietbedingungen für die Vermietung von Golf-Messtechnik</w:t>
      </w:r>
    </w:p>
    <w:p>
      <w:pPr>
        <w:pStyle w:val="Normal"/>
        <w:spacing w:before="0" w:after="40"/>
        <w:rPr/>
      </w:pPr>
      <w:r>
        <w:rPr>
          <w:i/>
          <w:iCs/>
          <w:color w:val="555555"/>
          <w:sz w:val="20"/>
          <w:szCs w:val="20"/>
        </w:rPr>
        <w:t>Stand 24.08.2026 – Rev. 1</w:t>
      </w:r>
    </w:p>
    <w:p>
      <w:pPr>
        <w:pStyle w:val="Normal"/>
        <w:spacing w:before="0" w:after="240"/>
        <w:rPr/>
      </w:pPr>
      <w:r>
        <w:rPr>
          <w:color w:val="555555"/>
          <w:sz w:val="20"/>
          <w:szCs w:val="20"/>
        </w:rPr>
        <w:t>Vermieter: Carry Golf, Philip Wieczorek, 74629 Pfedelbach</w:t>
      </w:r>
    </w:p>
    <w:p>
      <w:pPr>
        <w:pStyle w:val="Heading2"/>
        <w:pBdr>
          <w:bottom w:val="single" w:sz="4" w:space="4" w:color="9C7A2E"/>
        </w:pBdr>
        <w:spacing w:before="320" w:after="160"/>
        <w:rPr/>
      </w:pPr>
      <w:r>
        <w:rPr/>
        <w:t>§ 1 Geltungsbereich, Vertragsschluss</w:t>
      </w:r>
    </w:p>
    <w:p>
      <w:pPr>
        <w:pStyle w:val="Normal"/>
        <w:spacing w:before="0" w:after="100"/>
        <w:ind w:hanging="340" w:left="340"/>
        <w:rPr/>
      </w:pPr>
      <w:r>
        <w:rPr/>
        <w:t xml:space="preserve">(1) Diese Mietbedingungen gelten für die Vermietung von Golf-Messgeräten samt Zubehör („Mietgegenstand") durch Carry Golf, Philip Wieczorek, Beethovenstr. 16, 74629 Pfedelbach (nachfolgend „Carry Golf“ oder „Vermieter“ </w:t>
      </w:r>
      <w:commentRangeStart w:id="0"/>
      <w:r>
        <w:rPr/>
        <w:t>genannt</w:t>
      </w:r>
      <w:commentRangeEnd w:id="0"/>
      <w:r>
        <w:commentReference w:id="0"/>
      </w:r>
      <w:r>
        <w:rPr/>
        <w:t xml:space="preserve"> .</w:t>
      </w:r>
    </w:p>
    <w:p>
      <w:pPr>
        <w:pStyle w:val="Normal"/>
        <w:spacing w:before="0" w:after="100"/>
        <w:ind w:hanging="340" w:left="340"/>
        <w:rPr/>
      </w:pPr>
      <w:r>
        <w:rPr/>
        <w:t>(2) Die Darstellung des Mietangebots auf der Website stellt kein bindendes Angebot dar. Bei den Angeboten auf der Website handelt es sich daher rechtlich um keine bindenden Anträge, sondern um eine Aufforderung an den Mieter bzw. Kunden, selbst ein Angebot abzugeben (invitatio ad offerendum). Eine unverbindliche Preisauskunft oder eine Verfügbarkeitsanzeige – auch durch einen automatisierten Assistenten – begründet keinen Anspruch auf Überlassung.</w:t>
      </w:r>
    </w:p>
    <w:p>
      <w:pPr>
        <w:pStyle w:val="Normal"/>
        <w:spacing w:before="0" w:after="100"/>
        <w:ind w:hanging="340" w:left="340"/>
        <w:rPr/>
      </w:pPr>
      <w:r>
        <w:rPr/>
        <w:t xml:space="preserve">(3) Der Mieter gibt mit Absenden der Anfrage ein Angebot ab. Der Vertrag kommt erst mit ausdrücklicher Buchungsbestätigung durch Carry Golf in Textform (z.B. durch E-Mail) zustande. Sofern in der Buchungsbestätigung keine abweichende Regelung getroffen wird, ist Carry Golf berechtigt, das Angebot des Kunden innerhalb von 7 Tagen nach Zugang des Angebots anzunehmen. Sollte der Kunde innerhalb dieser Frist keine Buchungsbestätigung erhalten, ist er nicht mehr an sein Angebot gebunden. </w:t>
      </w:r>
      <w:commentRangeStart w:id="1"/>
      <w:r>
        <w:rPr/>
        <w:t>Gegebenenfalls</w:t>
      </w:r>
      <w:commentRangeEnd w:id="1"/>
      <w:r>
        <w:commentReference w:id="1"/>
      </w:r>
      <w:r>
        <w:rPr/>
        <w:t xml:space="preserve"> bereits erbrachte Leistungen werden dem Kunden in diesem Fall unverzüglich erstattet.</w:t>
      </w:r>
    </w:p>
    <w:p>
      <w:pPr>
        <w:pStyle w:val="Normal"/>
        <w:spacing w:before="0" w:after="100"/>
        <w:ind w:hanging="340" w:left="340"/>
        <w:rPr/>
      </w:pPr>
      <w:r>
        <w:rPr/>
        <w:t>(4) Abweichende Bedingungen des Mieters gegenüber den auf der Website veröffentlichten Vertragskonditionen gelten nur bei ausdrücklicher schriftlicher Zustimmung.</w:t>
      </w:r>
    </w:p>
    <w:p>
      <w:pPr>
        <w:pStyle w:val="Heading2"/>
        <w:pBdr>
          <w:bottom w:val="single" w:sz="4" w:space="4" w:color="9C7A2E"/>
        </w:pBdr>
        <w:spacing w:before="320" w:after="160"/>
        <w:rPr/>
      </w:pPr>
      <w:r>
        <w:rPr/>
        <w:t>§ 2 Mietgegenstand</w:t>
      </w:r>
    </w:p>
    <w:p>
      <w:pPr>
        <w:pStyle w:val="Normal"/>
        <w:spacing w:before="0" w:after="100"/>
        <w:ind w:hanging="340" w:left="340"/>
        <w:rPr/>
      </w:pPr>
      <w:r>
        <w:rPr/>
        <w:t>(1) Vermietet wird ein einsatzbereites Komplettset. Es handelt sich um mobile Geräte und Zubehör zur Golf-</w:t>
      </w:r>
      <w:commentRangeStart w:id="2"/>
      <w:r>
        <w:rPr/>
        <w:t>Messtechnik</w:t>
      </w:r>
      <w:commentRangeEnd w:id="2"/>
      <w:r>
        <w:commentReference w:id="2"/>
      </w:r>
      <w:r>
        <w:rPr/>
        <w:t>. Der genaue Umfang ergibt sich aus der Buchungsbestätigung. Produktbeschreibungen und Produktinformationen des Vermieters oder Herstellers der Geräte sind als Beschaffenheitsmerkmale der Leistung und nicht als zugesicherte Eigenschaften oder Garantien zu verstehen.</w:t>
      </w:r>
    </w:p>
    <w:p>
      <w:pPr>
        <w:pStyle w:val="Normal"/>
        <w:spacing w:before="0" w:after="100"/>
        <w:ind w:hanging="340" w:left="340"/>
        <w:rPr/>
      </w:pPr>
      <w:r>
        <w:rPr/>
        <w:t>(2) Carry Golf ist berechtigt, ein gleichwertiges Gerät auch eines anderen Herstellers bereitzustellen, sofern der Funktionsumfang nicht wesentlich abweicht und dies für den Mieter zumutbar ist. Bei vergleichbarer Verfügbarkeit und Funktionalität des Geräts und Zubehörs hat dies keine Auswirkung auf die Vertragsgemäßheit der erbrachten Leistungen. Wurde ein bestimmtes Modell ausdrücklich zugesagt, ist  dies nur mit Zustimmung des Mieters zulässig.</w:t>
      </w:r>
    </w:p>
    <w:p>
      <w:pPr>
        <w:pStyle w:val="Normal"/>
        <w:spacing w:before="0" w:after="100"/>
        <w:ind w:hanging="340" w:left="340"/>
        <w:rPr/>
      </w:pPr>
      <w:r>
        <w:rPr/>
        <w:t>(3) Der Mietgegenstand bleibt Eigentum von Carry Golf. Weitervermietung, Verpfändung oder sonstige Überlassung – ob entgeltlich oder unentgeltlich - an Dritte sind ohne vorherige schriftliche Zustimmung unzulässig. Die Nutzung durch Familienangehörige oder Mitspieler im Rahmen des vertragsgemäßen Gebrauchs ist gestattet.</w:t>
      </w:r>
    </w:p>
    <w:p>
      <w:pPr>
        <w:pStyle w:val="Heading2"/>
        <w:pBdr>
          <w:bottom w:val="single" w:sz="4" w:space="4" w:color="9C7A2E"/>
        </w:pBdr>
        <w:spacing w:before="320" w:after="160"/>
        <w:rPr/>
      </w:pPr>
      <w:r>
        <w:rPr/>
        <w:t>§ 3 Mietzeit</w:t>
      </w:r>
    </w:p>
    <w:p>
      <w:pPr>
        <w:pStyle w:val="Normal"/>
        <w:spacing w:before="0" w:after="100"/>
        <w:ind w:hanging="340" w:left="340"/>
        <w:rPr/>
      </w:pPr>
      <w:r>
        <w:rPr/>
        <w:t>(1) Maßgeblich für die Mietdauer sind die vereinbarten Nutzungstage</w:t>
        <w:commentReference w:id="3"/>
        <w:t>.</w:t>
      </w:r>
    </w:p>
    <w:p>
      <w:pPr>
        <w:pStyle w:val="Normal"/>
        <w:spacing w:before="0" w:after="100"/>
        <w:ind w:hanging="340" w:left="340"/>
        <w:rPr/>
      </w:pPr>
      <w:r>
        <w:rPr/>
        <w:t>(2) Bei Versand beginnt die Mietzeit und Nutzungsdauer mit dem Tag der Zustellung und endet mit dem Tag, an dem der Mietgegenstand beim Versanddienstleister eingeliefert wird. Der Zustelltag und der Einlieferungstag zählen jeweils als Miettage bzw. Teil der Mietdauer. Reine Transporttage werden nicht berechnet; hiervon abweichend gilt § 12 Abs. 4 für erneut zugesandte Sendungen. Maßgeblich für die Einlieferung ist der Einlieferungsbeleg.</w:t>
      </w:r>
    </w:p>
    <w:p>
      <w:pPr>
        <w:pStyle w:val="Normal"/>
        <w:spacing w:before="0" w:after="100"/>
        <w:ind w:hanging="340" w:left="340"/>
        <w:rPr/>
      </w:pPr>
      <w:r>
        <w:rPr/>
        <w:t>(3) Bei Abholung beginnt die Mietzeit mit der Übergabe und endet mit der Rückgabe am vereinbarten Rückgabetag und an dem vereinbarten Rückgabeort.</w:t>
      </w:r>
    </w:p>
    <w:p>
      <w:pPr>
        <w:pStyle w:val="Normal"/>
        <w:spacing w:before="0" w:after="100"/>
        <w:ind w:hanging="340" w:left="340"/>
        <w:rPr/>
      </w:pPr>
      <w:r>
        <w:rPr/>
        <w:t>(4) Verzögerungen im Transport, die weder Carry Golf noch der Mieter zu vertreten hat, gehen nicht zu Lasten des Mieters.</w:t>
      </w:r>
    </w:p>
    <w:p>
      <w:pPr>
        <w:pStyle w:val="Normal"/>
        <w:spacing w:before="0" w:after="100"/>
        <w:ind w:hanging="340" w:left="340"/>
        <w:rPr/>
      </w:pPr>
      <w:r>
        <w:rPr/>
        <w:t>(5) Bei Saisonpaketen ergibt sich der konkrete Mietzeitraum aus der Buchungsbestätigung.</w:t>
      </w:r>
    </w:p>
    <w:p>
      <w:pPr>
        <w:pStyle w:val="Normal"/>
        <w:spacing w:before="0" w:after="100"/>
        <w:ind w:hanging="340" w:left="340"/>
        <w:rPr/>
      </w:pPr>
      <w:r>
        <w:rPr/>
        <w:t>(6) Eine Verlängerung ist möglich, sofern der Mietgegenstand verfügbar ist. Sie bedarf der Bestätigung in Textform und wird zum jeweils gültigen Tagessatz abgerechnet.</w:t>
      </w:r>
    </w:p>
    <w:p>
      <w:pPr>
        <w:pStyle w:val="Heading2"/>
        <w:pBdr>
          <w:bottom w:val="single" w:sz="4" w:space="4" w:color="9C7A2E"/>
        </w:pBdr>
        <w:spacing w:before="320" w:after="160"/>
        <w:rPr/>
      </w:pPr>
      <w:r>
        <w:rPr/>
        <w:t>§ 4 Mietpreis, Zahlung</w:t>
      </w:r>
    </w:p>
    <w:p>
      <w:pPr>
        <w:pStyle w:val="Normal"/>
        <w:spacing w:before="0" w:after="100"/>
        <w:ind w:hanging="340" w:left="340"/>
        <w:rPr/>
      </w:pPr>
      <w:r>
        <w:rPr/>
        <w:t>(1) Es gelten die zum Zeitpunkt der Buchung bestätigten Preise des Vermieters.</w:t>
      </w:r>
    </w:p>
    <w:p>
      <w:pPr>
        <w:pStyle w:val="Normal"/>
        <w:spacing w:before="0" w:after="100"/>
        <w:ind w:hanging="340" w:left="340"/>
        <w:rPr/>
      </w:pPr>
      <w:r>
        <w:rPr/>
        <w:t>(2) Sämtliche kommunizierten Preise sind Bruttopreise einschließlich der gesetzlichen Umsatzsteuer. Die Umsatzsteuer wird auf der Rechnung gesondert ausgewiesen.</w:t>
      </w:r>
    </w:p>
    <w:p>
      <w:pPr>
        <w:pStyle w:val="Normal"/>
        <w:spacing w:before="0" w:after="100"/>
        <w:ind w:hanging="340" w:left="340"/>
        <w:rPr/>
      </w:pPr>
      <w:r>
        <w:rPr/>
        <w:t xml:space="preserve">(3) Die Zahlung ist vor Übergabe bzw. vor Versand fällig, sofern nicht anders vereinbart. Es gelten die Zahlungsbedingungen der Buchungsbestätigung. </w:t>
      </w:r>
    </w:p>
    <w:p>
      <w:pPr>
        <w:pStyle w:val="Normal"/>
        <w:spacing w:before="0" w:after="100"/>
        <w:ind w:hanging="340" w:left="340"/>
        <w:rPr/>
      </w:pPr>
      <w:r>
        <w:rPr/>
        <w:t>(4) Versandkosten und optionale Zusatzleistungen werden gesondert ausgewiesen.</w:t>
      </w:r>
    </w:p>
    <w:p>
      <w:pPr>
        <w:pStyle w:val="Heading2"/>
        <w:pBdr>
          <w:bottom w:val="single" w:sz="4" w:space="4" w:color="9C7A2E"/>
        </w:pBdr>
        <w:spacing w:before="320" w:after="160"/>
        <w:rPr/>
      </w:pPr>
      <w:r>
        <w:rPr/>
        <w:t>§ 5 Kaution</w:t>
      </w:r>
    </w:p>
    <w:p>
      <w:pPr>
        <w:pStyle w:val="Normal"/>
        <w:spacing w:before="0" w:after="100"/>
        <w:ind w:hanging="340" w:left="340"/>
        <w:rPr/>
      </w:pPr>
      <w:r>
        <w:rPr/>
        <w:t xml:space="preserve">(1) Vor Überlassung ist eine Kaution in Höhe von 500,00 EUR je Geräte mit Zubehör zu stellen, soweit nicht anders vereinbart. Solange die Kaution nicht geleistet ist, erhält der Mieter keine Bereitstellung bzw. Zusendung des Mietgegenstands. Hierdurch bedingte Verzögerungen hat der Mieter zu vertreten; er wird hierdurch von seinen vertraglichen Verpflichtungen einschließlich der Mietzahlungspflicht nicht </w:t>
      </w:r>
      <w:commentRangeStart w:id="4"/>
      <w:r>
        <w:rPr/>
        <w:t>entbunden</w:t>
      </w:r>
      <w:commentRangeEnd w:id="4"/>
      <w:r>
        <w:commentReference w:id="4"/>
      </w:r>
      <w:r>
        <w:rPr/>
        <w:t>.</w:t>
      </w:r>
    </w:p>
    <w:p>
      <w:pPr>
        <w:pStyle w:val="Normal"/>
        <w:spacing w:before="0" w:after="100"/>
        <w:ind w:hanging="340" w:left="340"/>
        <w:rPr/>
      </w:pPr>
      <w:r>
        <w:rPr/>
        <w:t xml:space="preserve">(2) Die Kaution wird grundsätzlich als Reservierung auf einer Kredit- oder Debitkarte des Mieters vorgemerkt. Der Betrag wird nicht eingezogen, sondern lediglich </w:t>
      </w:r>
      <w:commentRangeStart w:id="5"/>
      <w:r>
        <w:rPr/>
        <w:t>blockiert</w:t>
      </w:r>
      <w:commentRangeEnd w:id="5"/>
      <w:r>
        <w:commentReference w:id="5"/>
      </w:r>
      <w:r>
        <w:rPr/>
        <w:t>.</w:t>
      </w:r>
    </w:p>
    <w:p>
      <w:pPr>
        <w:pStyle w:val="Normal"/>
        <w:spacing w:before="0" w:after="100"/>
        <w:ind w:hanging="340" w:left="340"/>
        <w:rPr/>
      </w:pPr>
      <w:r>
        <w:rPr/>
        <w:t>(3) Ist eine Kartenreservierung für die gebuchte Mietdauer technisch nicht möglich, wird die Kaution gesondert in Rechnung gestellt und nach Rückgabe erstattet. Die Kaution ist kein Entgelt und wird ohne Umsatzsteuer ausgewiesen.</w:t>
      </w:r>
    </w:p>
    <w:p>
      <w:pPr>
        <w:pStyle w:val="Normal"/>
        <w:spacing w:before="0" w:after="100"/>
        <w:ind w:hanging="340" w:left="340"/>
        <w:rPr/>
      </w:pPr>
      <w:r>
        <w:rPr/>
        <w:t>(4) Die Kaution sichert sämtliche Ansprüche aus dem Mietverhältnis, insbesondere wegen Beschädigung, Verlust, verspäteter Rückgabe oder fehlender Bestandteile bei Rückgabe.</w:t>
      </w:r>
    </w:p>
    <w:p>
      <w:pPr>
        <w:pStyle w:val="Normal"/>
        <w:spacing w:before="0" w:after="100"/>
        <w:ind w:hanging="340" w:left="340"/>
        <w:rPr/>
      </w:pPr>
      <w:r>
        <w:rPr/>
        <w:t>(5) Die Freigabe bzw. Rückzahlung erfolgt unverzüglich nach Rückgabe wenn der Mietgegenstand in vertragsgemäßem Zustand zurückgegeben ist und aus dem Mietvertrag Forderungen  des Vermieters nicht mehr bestehen. Die  Prüfung und Freigabe bzw. Rückzahlung erfolgt spätestens innerhalb von 14 Tagen. Bestehen berechtigte Ansprüche, kann Carry Golf in entsprechender Höhe aufrechnen; ein Restbetrag wird unverzüglich freigegeben.</w:t>
      </w:r>
    </w:p>
    <w:p>
      <w:pPr>
        <w:pStyle w:val="Normal"/>
        <w:spacing w:before="0" w:after="100"/>
        <w:ind w:hanging="340" w:left="340"/>
        <w:rPr/>
      </w:pPr>
      <w:r>
        <w:rPr/>
        <w:t>(6) Die Kaution wird nicht verzinst.</w:t>
      </w:r>
    </w:p>
    <w:p>
      <w:pPr>
        <w:pStyle w:val="Normal"/>
        <w:spacing w:before="0" w:after="100"/>
        <w:ind w:hanging="340" w:left="340"/>
        <w:rPr/>
      </w:pPr>
      <w:r>
        <w:rPr/>
        <w:t xml:space="preserve">(7) Die Kaution ist als Sicherheit des Vermieters gedacht und begrenzt die Haftung des Mieters nicht. Stehen dem Vermieter höhere Ansprüche aus dem Mietverhältnis zu als der Betrag der vereinbarten Kaution, so ist er berechtigt entsprechend höhere Ansprüche gegenüber dem Mieter geltend zu machen. </w:t>
      </w:r>
    </w:p>
    <w:p>
      <w:pPr>
        <w:pStyle w:val="Heading2"/>
        <w:pBdr>
          <w:bottom w:val="single" w:sz="4" w:space="4" w:color="9C7A2E"/>
        </w:pBdr>
        <w:spacing w:before="320" w:after="160"/>
        <w:rPr/>
      </w:pPr>
      <w:r>
        <w:rPr/>
        <w:t>§ 6 Pflichten des Mieters</w:t>
      </w:r>
    </w:p>
    <w:p>
      <w:pPr>
        <w:pStyle w:val="Normal"/>
        <w:spacing w:before="0" w:after="80"/>
        <w:rPr/>
      </w:pPr>
      <w:r>
        <w:rPr/>
        <w:t>Der Mieter verpflichtet sich,</w:t>
      </w:r>
    </w:p>
    <w:p>
      <w:pPr>
        <w:pStyle w:val="Normal"/>
        <w:spacing w:before="0" w:after="60"/>
        <w:ind w:hanging="340" w:left="340"/>
        <w:rPr/>
      </w:pPr>
      <w:r>
        <w:rPr/>
        <w:t>a) den Mietgegenstand sorgfältig, schonend und ausschließlich bestimmungsgemäß zu verwenden;</w:t>
      </w:r>
    </w:p>
    <w:p>
      <w:pPr>
        <w:pStyle w:val="Normal"/>
        <w:spacing w:before="0" w:after="60"/>
        <w:ind w:hanging="340" w:left="340"/>
        <w:rPr/>
      </w:pPr>
      <w:r>
        <w:rPr/>
        <w:t>b) die mitgelieferte Kurzanleitung und die Hinweise zur Aufstellung zu beachten;</w:t>
      </w:r>
    </w:p>
    <w:p>
      <w:pPr>
        <w:pStyle w:val="Normal"/>
        <w:spacing w:before="0" w:after="60"/>
        <w:ind w:hanging="340" w:left="340"/>
        <w:rPr/>
      </w:pPr>
      <w:r>
        <w:rPr/>
        <w:t>c) den Mietgegenstand vor Witterungseinflüssen, Feuchtigkeit, Sturz, Diebstahl und Zugriff Unbefugter zu schützen;</w:t>
      </w:r>
    </w:p>
    <w:p>
      <w:pPr>
        <w:pStyle w:val="Normal"/>
        <w:spacing w:before="0" w:after="60"/>
        <w:ind w:hanging="340" w:left="340"/>
        <w:rPr/>
      </w:pPr>
      <w:r>
        <w:rPr/>
        <w:t>d) das Gerät  so aufzustellen, dass ein Treffer durch einen Ball soweit möglich vermieden wird;</w:t>
      </w:r>
    </w:p>
    <w:p>
      <w:pPr>
        <w:pStyle w:val="Normal"/>
        <w:spacing w:before="0" w:after="60"/>
        <w:ind w:hanging="340" w:left="340"/>
        <w:rPr/>
      </w:pPr>
      <w:r>
        <w:rPr/>
        <w:t>e) den Mietgegenstand nicht zu öffnen, zu verändern, zu reparieren oder Software zu manipulieren;</w:t>
      </w:r>
    </w:p>
    <w:p>
      <w:pPr>
        <w:pStyle w:val="Normal"/>
        <w:spacing w:before="0" w:after="60"/>
        <w:ind w:hanging="340" w:left="340"/>
        <w:rPr/>
      </w:pPr>
      <w:r>
        <w:rPr/>
        <w:t>f) eine beabsichtigte Nutzung außerhalb Deutschlands bereits bei der Buchung (dem Angebot nach §1 Abs.3) anzugeben (siehe § 6a);</w:t>
      </w:r>
    </w:p>
    <w:p>
      <w:pPr>
        <w:pStyle w:val="Normal"/>
        <w:spacing w:before="0" w:after="60"/>
        <w:ind w:hanging="340" w:left="340"/>
        <w:rPr/>
      </w:pPr>
      <w:r>
        <w:rPr/>
        <w:t>g) Schäden, Verlust oder Funktionsstörungen unverzüglich anzuzeigen;</w:t>
      </w:r>
    </w:p>
    <w:p>
      <w:pPr>
        <w:pStyle w:val="Normal"/>
        <w:spacing w:before="0" w:after="60"/>
        <w:ind w:hanging="340" w:left="340"/>
        <w:rPr/>
      </w:pPr>
      <w:r>
        <w:rPr/>
        <w:t xml:space="preserve">h) den Mietgegenstand vollständig, nach beigefügter Gebrauchsanleitung von Schmutz befreit </w:t>
        <w:commentReference w:id="6"/>
        <w:t xml:space="preserve"> und im Originalkoffer zurückzugeben.</w:t>
      </w:r>
    </w:p>
    <w:p>
      <w:pPr>
        <w:pStyle w:val="Heading2"/>
        <w:pBdr>
          <w:bottom w:val="single" w:sz="4" w:space="4" w:color="9C7A2E"/>
        </w:pBdr>
        <w:spacing w:before="320" w:after="160"/>
        <w:rPr/>
      </w:pPr>
      <w:r>
        <w:rPr/>
        <w:t xml:space="preserve">§ 6a Nutzung im </w:t>
      </w:r>
      <w:commentRangeStart w:id="7"/>
      <w:r>
        <w:rPr/>
        <w:t>Ausland</w:t>
      </w:r>
      <w:commentRangeEnd w:id="7"/>
      <w:r>
        <w:commentReference w:id="7"/>
      </w:r>
      <w:r>
        <w:rPr/>
        <w:t xml:space="preserve"> </w:t>
      </w:r>
    </w:p>
    <w:p>
      <w:pPr>
        <w:pStyle w:val="Normal"/>
        <w:spacing w:before="0" w:after="100"/>
        <w:ind w:hanging="340" w:left="340"/>
        <w:rPr/>
      </w:pPr>
      <w:r>
        <w:rPr/>
        <w:t>(1) Die Nutzung des Mietgegenstands außerhalb Deutschlands ist nur nach vorheriger Zustimmung von Carry Golf in Textform zulässig. Sie ist bereits bei der Buchung (dem Angebot nach §1 Abs.3)  anzugeben.</w:t>
      </w:r>
    </w:p>
    <w:p>
      <w:pPr>
        <w:pStyle w:val="Normal"/>
        <w:spacing w:before="0" w:after="100"/>
        <w:ind w:hanging="340" w:left="340"/>
        <w:rPr/>
      </w:pPr>
      <w:r>
        <w:rPr/>
        <w:t>(2) Eine Zustimmung kommt ausschließlich für unmittelbare Nachbarstaaten Deutschlands innerhalb der Europäischen Union in Betracht. Carry Golf entscheidet im Einzelfall nach eigenem Ermessen und ist zur Zustimmung nicht verpflichtet.</w:t>
      </w:r>
    </w:p>
    <w:p>
      <w:pPr>
        <w:pStyle w:val="Normal"/>
        <w:spacing w:before="0" w:after="100"/>
        <w:ind w:hanging="340" w:left="340"/>
        <w:rPr/>
      </w:pPr>
      <w:r>
        <w:rPr/>
        <w:t>(3) Eine Verbringung in Staaten außerhalb der Europäischen Union, insbesondere in die Schweiz, ist ausdrücklich untersagt .</w:t>
      </w:r>
    </w:p>
    <w:p>
      <w:pPr>
        <w:pStyle w:val="Normal"/>
        <w:spacing w:before="0" w:after="100"/>
        <w:ind w:hanging="340" w:left="340"/>
        <w:rPr/>
      </w:pPr>
      <w:r>
        <w:rPr/>
        <w:t>(4) Der Mieter trägt bei Nutzung im Ausland das Risiko einer verzögerten Rücksendung. § 9 bleibt unberührt.</w:t>
      </w:r>
    </w:p>
    <w:p>
      <w:pPr>
        <w:pStyle w:val="Normal"/>
        <w:spacing w:before="0" w:after="100"/>
        <w:ind w:hanging="340" w:left="340"/>
        <w:rPr/>
      </w:pPr>
      <w:r>
        <w:rPr/>
        <w:t xml:space="preserve">(5) Bei Nutzung im Ausland ohne Zustimmung nach Absatz 1 oder entgegen Absatz 3 entfällt die Haftungsreduzierung nach § 8 Abs. </w:t>
      </w:r>
      <w:commentRangeStart w:id="8"/>
      <w:r>
        <w:rPr/>
        <w:t>4</w:t>
      </w:r>
      <w:commentRangeEnd w:id="8"/>
      <w:r>
        <w:commentReference w:id="8"/>
      </w:r>
      <w:r>
        <w:rPr/>
        <w:t xml:space="preserve">. Darüber hinaus ist der Vermieter zur außerordentlichen Kündigung des Mietvertrags wegen Vertragsverletzung berechtigt. </w:t>
      </w:r>
    </w:p>
    <w:p>
      <w:pPr>
        <w:pStyle w:val="Heading2"/>
        <w:pBdr>
          <w:bottom w:val="single" w:sz="4" w:space="4" w:color="9C7A2E"/>
        </w:pBdr>
        <w:spacing w:before="320" w:after="160"/>
        <w:rPr/>
      </w:pPr>
      <w:r>
        <w:rPr/>
        <w:t>§ 7 Zustand bei Übergabe, Mängel</w:t>
      </w:r>
    </w:p>
    <w:p>
      <w:pPr>
        <w:pStyle w:val="Normal"/>
        <w:spacing w:before="0" w:after="100"/>
        <w:ind w:hanging="340" w:left="340"/>
        <w:rPr/>
      </w:pPr>
      <w:r>
        <w:rPr/>
        <w:t>(1) Der Mieter hat den Mietgegenstand bei Übergabe bzw. nach Erhalt auf Vollständigkeit und äußerlich erkennbare Schäden zu prüfen und Beanstandungen unverzüglich anzuzeigen. Der Anzeige sind nach Möglichkeit Fotos beizufügen, damit der Vermieter Informationen über die Ursache des Mangels und die Möglichkeit einer Beseitigung bekommt.</w:t>
      </w:r>
    </w:p>
    <w:p>
      <w:pPr>
        <w:pStyle w:val="Normal"/>
        <w:spacing w:before="0" w:after="100"/>
        <w:ind w:hanging="340" w:left="340"/>
        <w:rPr/>
      </w:pPr>
      <w:r>
        <w:rPr/>
        <w:t xml:space="preserve">(2) . Die §§ 536b BGB (Kenntnis des Mieters vom Mangel bei Vertragsschluss oder Annahme), 536c BGB (Während der Mietzeit auftretende Mängel; Mängelanzeige durch den Mieter) finden Anwendung. Die Anwendung des § 536a Abs. 2 BGB (Selbstbeseitigungsrecht des Mieters) ist jedoch ausgeschlossen. Ausgeschlossen ist auch die Anwendung von § 536a Abs. 1 BGB (Schadensersatzpflicht des Vermieters), soweit die Norm eine verschuldensunabhängige Haftung </w:t>
      </w:r>
      <w:commentRangeStart w:id="10"/>
      <w:r>
        <w:rPr/>
        <w:t>vorsieht</w:t>
      </w:r>
      <w:commentRangeEnd w:id="10"/>
      <w:r>
        <w:commentReference w:id="10"/>
      </w:r>
      <w:r>
        <w:rPr/>
        <w:t>.</w:t>
      </w:r>
    </w:p>
    <w:p>
      <w:pPr>
        <w:pStyle w:val="Normal"/>
        <w:spacing w:before="0" w:after="100"/>
        <w:ind w:hanging="340" w:left="340"/>
        <w:rPr/>
      </w:pPr>
      <w:r>
        <w:rPr/>
        <w:t>(3) Tritt während der Mietzeit ein Mangel auf, ist dieser gemäß § 536c BGB unverzüglich anzuzeigen. Carry Golf leistet, soweit möglich, telefonische oder digitale Unterstützung oder stellt Ersatz.</w:t>
      </w:r>
    </w:p>
    <w:p>
      <w:pPr>
        <w:pStyle w:val="Normal"/>
        <w:spacing w:before="0" w:after="100"/>
        <w:ind w:hanging="340" w:left="340"/>
        <w:rPr/>
      </w:pPr>
      <w:r>
        <w:rPr/>
        <w:t>(4) Eine unzureichende bzw. fehlerhafte Ausrichtung oder Aufstellung des Messgeräts stellt keinen Mangel dar. Carry Golf stellt hierzu eine Anleitung sowie telefonische Unterstützung bereit.</w:t>
      </w:r>
    </w:p>
    <w:p>
      <w:pPr>
        <w:pStyle w:val="Heading2"/>
        <w:pBdr>
          <w:bottom w:val="single" w:sz="4" w:space="4" w:color="9C7A2E"/>
        </w:pBdr>
        <w:spacing w:before="320" w:after="160"/>
        <w:rPr/>
      </w:pPr>
      <w:r>
        <w:rPr/>
        <w:t>§ 8 Haftung des Mieters, Haftungsreduzierung</w:t>
      </w:r>
    </w:p>
    <w:p>
      <w:pPr>
        <w:pStyle w:val="Normal"/>
        <w:spacing w:before="0" w:after="100"/>
        <w:ind w:hanging="340" w:left="340"/>
        <w:rPr/>
      </w:pPr>
      <w:r>
        <w:rPr/>
        <w:t>(1) Der Mieter haftet für Beschädigung, Verlust oder Zerstörung des Mietgegenstands, soweit er diese zu vertreten hat.</w:t>
      </w:r>
    </w:p>
    <w:p>
      <w:pPr>
        <w:pStyle w:val="Normal"/>
        <w:spacing w:before="0" w:after="100"/>
        <w:ind w:hanging="340" w:left="340"/>
        <w:rPr/>
      </w:pPr>
      <w:r>
        <w:rPr/>
        <w:t xml:space="preserve">      Der Mieter haftet dem Vermieter für Schäden an den Mietgegenständen, die durch Verletzung der ihm obliegenden Obhuts- und Sorgfaltspflichten schuldhaft verursacht werden. Der Mieter haftet in gleicher Weise für Schäden, die durch seine Mitspieler und andere Personen, die mit seinem Willen an den Vertragsgegenständen tätig werden bzw. diese nutzen, verursacht worden sind.</w:t>
      </w:r>
    </w:p>
    <w:p>
      <w:pPr>
        <w:pStyle w:val="Normal"/>
        <w:spacing w:before="0" w:after="100"/>
        <w:ind w:hanging="340" w:left="340"/>
        <w:rPr/>
      </w:pPr>
      <w:r>
        <w:rPr/>
        <w:t>(2) Übliche Gebrauchsspuren sind nicht zu ersetzen.</w:t>
      </w:r>
    </w:p>
    <w:p>
      <w:pPr>
        <w:pStyle w:val="Normal"/>
        <w:spacing w:before="0" w:after="100"/>
        <w:ind w:hanging="340" w:left="340"/>
        <w:rPr/>
      </w:pPr>
      <w:r>
        <w:rPr/>
        <w:t xml:space="preserve">(3) Bei Verlust oder Totalschaden der nach den Vertragsbedingungen vom Mieter zu vertreten ist schuldet der Mieter den Zeitwert; bei Beschädigung die Reparaturkosten, höchstens jedoch den Zeitwert. Carry Golf verpflichtet sich  den voraussichtlichen Zeitwert auf Verlangen anhand von Anschaffungsdatum, Anschaffungspreis und Abschreibung </w:t>
      </w:r>
      <w:commentRangeStart w:id="11"/>
      <w:r>
        <w:rPr/>
        <w:t>offenzulegen</w:t>
      </w:r>
      <w:commentRangeEnd w:id="11"/>
      <w:r>
        <w:commentReference w:id="11"/>
      </w:r>
      <w:r>
        <w:rPr/>
        <w:t>.</w:t>
      </w:r>
    </w:p>
    <w:p>
      <w:pPr>
        <w:pStyle w:val="Normal"/>
        <w:spacing w:before="0" w:after="100"/>
        <w:ind w:hanging="340" w:left="340"/>
        <w:rPr/>
      </w:pPr>
      <w:r>
        <w:rPr/>
        <w:t xml:space="preserve">(4) Der Mieter ist berechtigt nachzuweisen, dass ein Schaden nicht oder in geringerer Höhe entstanden </w:t>
      </w:r>
      <w:commentRangeStart w:id="12"/>
      <w:r>
        <w:rPr/>
        <w:t>ist</w:t>
      </w:r>
      <w:commentRangeEnd w:id="12"/>
      <w:r>
        <w:commentReference w:id="12"/>
      </w:r>
      <w:r>
        <w:rPr/>
        <w:t xml:space="preserve">. </w:t>
      </w:r>
    </w:p>
    <w:p>
      <w:pPr>
        <w:pStyle w:val="Normal"/>
        <w:spacing w:before="0" w:after="100"/>
        <w:ind w:hanging="340" w:left="340"/>
        <w:rPr/>
      </w:pPr>
      <w:r>
        <w:rPr/>
        <w:t xml:space="preserve">(5) Optionale </w:t>
      </w:r>
      <w:commentRangeStart w:id="13"/>
      <w:r>
        <w:rPr/>
        <w:t>Haftungsreduzierung</w:t>
      </w:r>
      <w:commentRangeEnd w:id="13"/>
      <w:r>
        <w:commentReference w:id="13"/>
      </w:r>
      <w:r>
        <w:rPr/>
        <w:t>:</w:t>
      </w:r>
    </w:p>
    <w:p>
      <w:pPr>
        <w:pStyle w:val="Normal"/>
        <w:spacing w:before="0" w:after="100"/>
        <w:ind w:hanging="340" w:left="340"/>
        <w:rPr/>
      </w:pPr>
      <w:r>
        <w:rPr/>
        <w:t xml:space="preserve">       Der Mieter kann gegen Zahlung eines zusätzlichen Entgelts von 99,00 EUR je Mietvorgang eine Haftungsreduzierung vereinbaren. Die Haftungsreduzierung ist Bestandteil des Mietvertrags und stellt keine Versicherung dar. Gegen ein zusätzliches Entgelt von 99,00 EUR je Mietvorgang reduziert sich die Haftung des Mieters für Beschädigungen des Mietgegenstands auf 0,00 EUR, soweit in den nachfolgenden Absätzen nichts Abweichendes geregelt ist.</w:t>
      </w:r>
    </w:p>
    <w:p>
      <w:pPr>
        <w:pStyle w:val="Normal"/>
        <w:spacing w:before="0" w:after="100"/>
        <w:ind w:hanging="340" w:left="340"/>
        <w:rPr/>
      </w:pPr>
      <w:r>
        <w:rPr/>
        <w:t>(6) Die Haftungsreduzierung gilt nicht für:</w:t>
      </w:r>
    </w:p>
    <w:p>
      <w:pPr>
        <w:pStyle w:val="ListParagraph"/>
        <w:numPr>
          <w:ilvl w:val="0"/>
          <w:numId w:val="3"/>
        </w:numPr>
        <w:spacing w:before="0" w:after="60"/>
        <w:rPr/>
      </w:pPr>
      <w:r>
        <w:rPr/>
        <w:t xml:space="preserve">Vorsatz </w:t>
        <w:commentReference w:id="14"/>
      </w:r>
    </w:p>
    <w:p>
      <w:pPr>
        <w:pStyle w:val="ListParagraph"/>
        <w:numPr>
          <w:ilvl w:val="0"/>
          <w:numId w:val="1"/>
        </w:numPr>
        <w:spacing w:before="0" w:after="60"/>
        <w:rPr/>
      </w:pPr>
      <w:r>
        <w:rPr/>
        <w:t>Diebstahl, Verlust und Abhandenkommen</w:t>
      </w:r>
    </w:p>
    <w:p>
      <w:pPr>
        <w:pStyle w:val="ListParagraph"/>
        <w:numPr>
          <w:ilvl w:val="0"/>
          <w:numId w:val="1"/>
        </w:numPr>
        <w:spacing w:before="0" w:after="60"/>
        <w:rPr/>
      </w:pPr>
      <w:r>
        <w:rPr/>
        <w:t>Schäden infolge einer Nutzung im Ausland ohne vorherige schriftliche Zustimmung</w:t>
      </w:r>
    </w:p>
    <w:p>
      <w:pPr>
        <w:pStyle w:val="ListParagraph"/>
        <w:numPr>
          <w:ilvl w:val="0"/>
          <w:numId w:val="1"/>
        </w:numPr>
        <w:spacing w:before="0" w:after="60"/>
        <w:rPr/>
      </w:pPr>
      <w:r>
        <w:rPr/>
        <w:t>Schäden infolge unbefugte Weitergabe an Dritte</w:t>
      </w:r>
    </w:p>
    <w:p>
      <w:pPr>
        <w:pStyle w:val="ListParagraph"/>
        <w:numPr>
          <w:ilvl w:val="0"/>
          <w:numId w:val="1"/>
        </w:numPr>
        <w:spacing w:before="0" w:after="60"/>
        <w:rPr/>
      </w:pPr>
      <w:r>
        <w:rPr/>
        <w:t>Schäden durch unbefugtes Öffnen oder technische Manipulation des Geräts</w:t>
      </w:r>
    </w:p>
    <w:p>
      <w:pPr>
        <w:pStyle w:val="ListParagraph"/>
        <w:numPr>
          <w:ilvl w:val="0"/>
          <w:numId w:val="1"/>
        </w:numPr>
        <w:spacing w:before="0" w:after="60"/>
        <w:rPr/>
      </w:pPr>
      <w:r>
        <w:rPr/>
        <w:t>Schäden durch Aufstellung entgegen den Vorgaben des Vermieters nach § 6 Buchstabe d</w:t>
      </w:r>
    </w:p>
    <w:p>
      <w:pPr>
        <w:pStyle w:val="Normal"/>
        <w:spacing w:before="0" w:after="100"/>
        <w:ind w:hanging="340" w:left="340"/>
        <w:rPr/>
      </w:pPr>
      <w:r>
        <w:rPr/>
        <w:t xml:space="preserve">(7) Führt der Mieter den Schaden am Mietgegenstand durch grobe Fahrlässigkeit herbei, ist der Vermieter berechtigt, die Haftungsreduzierung in einem der Schwere des Verschuldens des Mieters entsprechenden Verhältnis zu kürzen. </w:t>
      </w:r>
    </w:p>
    <w:p>
      <w:pPr>
        <w:pStyle w:val="Heading2"/>
        <w:pBdr>
          <w:bottom w:val="single" w:sz="4" w:space="4" w:color="9C7A2E"/>
        </w:pBdr>
        <w:spacing w:before="320" w:after="160"/>
        <w:rPr/>
      </w:pPr>
      <w:r>
        <w:rPr/>
        <w:t>§ 9 Rückgabe, verspätete Rückgabe</w:t>
      </w:r>
    </w:p>
    <w:p>
      <w:pPr>
        <w:pStyle w:val="Normal"/>
        <w:spacing w:before="0" w:after="100"/>
        <w:ind w:hanging="340" w:left="340"/>
        <w:rPr/>
      </w:pPr>
      <w:r>
        <w:rPr/>
        <w:t>(1) Der Mietgegenstand ist spätestens am vereinbarten Rückgabetag zurückzugeben bzw. beim Versanddienstleister einzuliefern. Maßgeblich ist der Einlieferungsbeleg.</w:t>
      </w:r>
    </w:p>
    <w:p>
      <w:pPr>
        <w:pStyle w:val="Normal"/>
        <w:spacing w:before="0" w:after="100"/>
        <w:ind w:hanging="340" w:left="340"/>
        <w:rPr/>
      </w:pPr>
      <w:r>
        <w:rPr/>
        <w:t>(2) Nutzungsentschädigung: Gibt der Mieter verspätet zurück, schuldet er für jeden angefangenen Tag der Verspätung eine Nutzungsentschädigung in Höhe des Tagessatzes des gebuchten Mietpakets.</w:t>
      </w:r>
    </w:p>
    <w:p>
      <w:pPr>
        <w:pStyle w:val="Normal"/>
        <w:spacing w:before="0" w:after="100"/>
        <w:ind w:hanging="340" w:left="340"/>
        <w:rPr/>
      </w:pPr>
      <w:r>
        <w:rPr/>
        <w:t xml:space="preserve">(3) Weitergehender Schaden: Kann Carry Golf infolge der verspäteten Rückgabe eine bereits bestätigte Folgevermietung nicht erfüllen und steht kein Ersatzgerät zur Verfügung, hat der Mieter den daraus entstehenden Schaden zu ersetzen der über die Nutzungsentschädigung in § 9 Abs. 2 hinausgeht, sofern er die Verspätung zu vertreten hat. Dieser Anspruch ist auf 249,00 EUR begrenzt. Sendungsverzögerungen aufgrund des Transportdienstleisters hat der Mieter gemäß § 3 Abs. 2 nicht zu vertreten. </w:t>
      </w:r>
    </w:p>
    <w:p>
      <w:pPr>
        <w:pStyle w:val="Normal"/>
        <w:spacing w:before="0" w:after="100"/>
        <w:ind w:hanging="340" w:left="340"/>
        <w:rPr/>
      </w:pPr>
      <w:r>
        <w:rPr/>
        <w:t>(4) Dem Mieter bleibt der Nachweis vorbehalten, dass kein oder ein geringerer Schaden entstanden ist.</w:t>
      </w:r>
    </w:p>
    <w:p>
      <w:pPr>
        <w:pStyle w:val="Normal"/>
        <w:spacing w:before="0" w:after="100"/>
        <w:ind w:hanging="340" w:left="340"/>
        <w:rPr/>
      </w:pPr>
      <w:r>
        <w:rPr/>
        <w:t xml:space="preserve">(5) Carry Golf </w:t>
        <w:commentReference w:id="15"/>
        <w:t>ist verpflichtet, den Schaden gering zu halten (§ 254 Abs. 2 BGB) .</w:t>
      </w:r>
    </w:p>
    <w:p>
      <w:pPr>
        <w:pStyle w:val="Heading2"/>
        <w:pBdr>
          <w:bottom w:val="single" w:sz="4" w:space="4" w:color="9C7A2E"/>
        </w:pBdr>
        <w:spacing w:before="320" w:after="160"/>
        <w:rPr/>
      </w:pPr>
      <w:r>
        <w:rPr/>
        <w:t>§ 10 Haftung von Carry Golf</w:t>
      </w:r>
    </w:p>
    <w:p>
      <w:pPr>
        <w:pStyle w:val="Normal"/>
        <w:spacing w:before="0" w:after="100"/>
        <w:ind w:hanging="340" w:left="340"/>
        <w:rPr/>
      </w:pPr>
      <w:r>
        <w:rPr/>
        <w:t xml:space="preserve">(1) Carry Golf haftet für Schäden des Mieters, die vorsätzlich oder grob fahrlässig verursacht wurden, die Folge des Nichtvorhandenseins einer garantierten Beschaffenheit des Leistungsgegenstandes sind, die Folge einer schuldhaften Verletzung der Gesundheit, des Körpers oder des Lebens sind, oder für die eine Haftung nach dem Produkthaftungsgesetz vorgesehen ist, nach den gesetzlichen Bestimmungen. (2) </w:t>
      </w:r>
      <w:commentRangeStart w:id="16"/>
      <w:r>
        <w:rPr/>
        <w:t>Bei</w:t>
      </w:r>
      <w:commentRangeEnd w:id="16"/>
      <w:r>
        <w:commentReference w:id="16"/>
      </w:r>
      <w:r>
        <w:rPr/>
        <w:t xml:space="preserve"> leicht fahrlässiger Verletzung wesentlicher Vertragspflichten (sogenannte Kardinalpflichten) ist die Haftung auf den vertragstypischen, vorhersehbaren Schaden begrenzt, soweit der Schaden nicht Leib, Leben oder Gesundheit oder eine versprochene Garantie betrifft.</w:t>
      </w:r>
    </w:p>
    <w:p>
      <w:pPr>
        <w:pStyle w:val="Normal"/>
        <w:spacing w:before="0" w:after="100"/>
        <w:ind w:hanging="340" w:left="340"/>
        <w:rPr/>
      </w:pPr>
      <w:r>
        <w:rPr/>
        <w:t>(3) Im Übrigen ist die Haftung ausgeschlossen.</w:t>
      </w:r>
    </w:p>
    <w:p>
      <w:pPr>
        <w:pStyle w:val="Normal"/>
        <w:spacing w:before="0" w:after="100"/>
        <w:ind w:hanging="340" w:left="340"/>
        <w:rPr/>
      </w:pPr>
      <w:r>
        <w:rPr/>
        <w:t>(4) Die verschuldensunabhängige Haftung für anfängliche Mängel nach § 536a Abs. 1 Alt. 1 BGB wird ebenfalls ausgeschlossen.</w:t>
      </w:r>
    </w:p>
    <w:p>
      <w:pPr>
        <w:pStyle w:val="Normal"/>
        <w:spacing w:before="0" w:after="100"/>
        <w:ind w:hanging="340" w:left="340"/>
        <w:rPr/>
      </w:pPr>
      <w:r>
        <w:rPr/>
        <w:t>(5) Carry Golf haftet nicht für die Richtigkeit der gemessenen Werte oder für Trainingsergebnisse. Die Nutzung erfolgt eigenverantwortlich.</w:t>
      </w:r>
    </w:p>
    <w:p>
      <w:pPr>
        <w:pStyle w:val="Heading2"/>
        <w:pBdr>
          <w:bottom w:val="single" w:sz="4" w:space="4" w:color="9C7A2E"/>
        </w:pBdr>
        <w:spacing w:before="320" w:after="160"/>
        <w:rPr/>
      </w:pPr>
      <w:r>
        <w:rPr/>
        <w:t>§ 11 Umbuchung und Stornierung</w:t>
      </w:r>
    </w:p>
    <w:p>
      <w:pPr>
        <w:pStyle w:val="Normal"/>
        <w:spacing w:before="0" w:after="100"/>
        <w:ind w:hanging="340" w:left="340"/>
        <w:rPr/>
      </w:pPr>
      <w:r>
        <w:rPr/>
        <w:t>(1) Umbuchung: Der Mieter kann den gebuchten Zeitraum einmalig kostenfrei auf einen anderen Termin verlegen, sofern die Anfrage spätestens 14 Tage vor Mietbeginn eingeht und der gewünschte Zeitraum verfügbar ist.</w:t>
      </w:r>
    </w:p>
    <w:p>
      <w:pPr>
        <w:pStyle w:val="Normal"/>
        <w:spacing w:before="0" w:after="100"/>
        <w:ind w:hanging="340" w:left="340"/>
        <w:rPr/>
      </w:pPr>
      <w:r>
        <w:rPr/>
        <w:t>(2) Für jede weitere Umbuchung berechnet Carry Golf ein Bearbeitungsentgelt von 24,95 EUR.</w:t>
      </w:r>
    </w:p>
    <w:p>
      <w:pPr>
        <w:pStyle w:val="Normal"/>
        <w:spacing w:before="0" w:after="100"/>
        <w:ind w:hanging="340" w:left="340"/>
        <w:rPr/>
      </w:pPr>
      <w:r>
        <w:rPr/>
        <w:t xml:space="preserve">(3) Ist der neue Zeitraum teurer, wird die Differenz nachberechnet. </w:t>
        <w:commentReference w:id="17"/>
      </w:r>
    </w:p>
    <w:p>
      <w:pPr>
        <w:pStyle w:val="Normal"/>
        <w:spacing w:before="0" w:after="100"/>
        <w:ind w:hanging="340" w:left="340"/>
        <w:rPr/>
      </w:pPr>
      <w:r>
        <w:rPr/>
        <w:t xml:space="preserve">(4) Stornierung: Storniert der Mieter eine bestätigte Buchung, gelten folgende </w:t>
      </w:r>
      <w:commentRangeStart w:id="18"/>
      <w:r>
        <w:rPr/>
        <w:t>Pauschalen</w:t>
      </w:r>
      <w:commentRangeEnd w:id="18"/>
      <w:r>
        <w:commentReference w:id="18"/>
      </w:r>
      <w:r>
        <w:rPr/>
        <w:t>:</w:t>
      </w:r>
    </w:p>
    <w:tbl>
      <w:tblPr>
        <w:tblW w:w="9000" w:type="dxa"/>
        <w:jc w:val="left"/>
        <w:tblInd w:w="0" w:type="dxa"/>
        <w:tblLayout w:type="fixed"/>
        <w:tblCellMar>
          <w:top w:w="0" w:type="dxa"/>
          <w:left w:w="10" w:type="dxa"/>
          <w:bottom w:w="0" w:type="dxa"/>
          <w:right w:w="10" w:type="dxa"/>
        </w:tblCellMar>
        <w:tblLook w:val="0000" w:noHBand="0" w:noVBand="0" w:firstColumn="0" w:lastRow="0" w:lastColumn="0" w:firstRow="0"/>
      </w:tblPr>
      <w:tblGrid>
        <w:gridCol w:w="5599"/>
        <w:gridCol w:w="3400"/>
      </w:tblGrid>
      <w:tr>
        <w:trPr/>
        <w:tc>
          <w:tcPr>
            <w:tcW w:w="5599" w:type="dxa"/>
            <w:tcBorders>
              <w:top w:val="single" w:sz="4" w:space="0" w:color="000000"/>
              <w:left w:val="single" w:sz="4" w:space="0" w:color="000000"/>
              <w:bottom w:val="single" w:sz="4" w:space="0" w:color="000000"/>
              <w:right w:val="single" w:sz="4" w:space="0" w:color="000000"/>
            </w:tcBorders>
            <w:shd w:color="auto" w:fill="1A1A1A" w:val="clear"/>
          </w:tcPr>
          <w:p>
            <w:pPr>
              <w:pStyle w:val="Normal"/>
              <w:rPr/>
            </w:pPr>
            <w:r>
              <w:rPr>
                <w:b/>
                <w:bCs/>
                <w:color w:val="FFFFFF"/>
                <w:sz w:val="20"/>
                <w:szCs w:val="20"/>
              </w:rPr>
              <w:t>Zeitpunkt der Stornierung</w:t>
            </w:r>
          </w:p>
        </w:tc>
        <w:tc>
          <w:tcPr>
            <w:tcW w:w="3400" w:type="dxa"/>
            <w:tcBorders>
              <w:top w:val="single" w:sz="4" w:space="0" w:color="000000"/>
              <w:left w:val="single" w:sz="4" w:space="0" w:color="000000"/>
              <w:bottom w:val="single" w:sz="4" w:space="0" w:color="000000"/>
              <w:right w:val="single" w:sz="4" w:space="0" w:color="000000"/>
            </w:tcBorders>
            <w:shd w:color="auto" w:fill="1A1A1A" w:val="clear"/>
          </w:tcPr>
          <w:p>
            <w:pPr>
              <w:pStyle w:val="Normal"/>
              <w:rPr/>
            </w:pPr>
            <w:r>
              <w:rPr>
                <w:b/>
                <w:bCs/>
                <w:color w:val="FFFFFF"/>
                <w:sz w:val="20"/>
                <w:szCs w:val="20"/>
              </w:rPr>
              <w:t>Pauschale</w:t>
            </w:r>
          </w:p>
        </w:tc>
      </w:tr>
      <w:tr>
        <w:trPr/>
        <w:tc>
          <w:tcPr>
            <w:tcW w:w="5599" w:type="dxa"/>
            <w:tcBorders>
              <w:top w:val="single" w:sz="4" w:space="0" w:color="000000"/>
              <w:left w:val="single" w:sz="4" w:space="0" w:color="000000"/>
              <w:bottom w:val="single" w:sz="4" w:space="0" w:color="000000"/>
              <w:right w:val="single" w:sz="4" w:space="0" w:color="000000"/>
            </w:tcBorders>
            <w:shd w:color="auto" w:fill="F7F3E8" w:val="clear"/>
          </w:tcPr>
          <w:p>
            <w:pPr>
              <w:pStyle w:val="Normal"/>
              <w:rPr/>
            </w:pPr>
            <w:r>
              <w:rPr>
                <w:sz w:val="20"/>
                <w:szCs w:val="20"/>
              </w:rPr>
              <w:t>bis 14 Tage vor Mietbeginn</w:t>
            </w:r>
          </w:p>
        </w:tc>
        <w:tc>
          <w:tcPr>
            <w:tcW w:w="3400" w:type="dxa"/>
            <w:tcBorders>
              <w:top w:val="single" w:sz="4" w:space="0" w:color="000000"/>
              <w:left w:val="single" w:sz="4" w:space="0" w:color="000000"/>
              <w:bottom w:val="single" w:sz="4" w:space="0" w:color="000000"/>
              <w:right w:val="single" w:sz="4" w:space="0" w:color="000000"/>
            </w:tcBorders>
            <w:shd w:color="auto" w:fill="F7F3E8" w:val="clear"/>
          </w:tcPr>
          <w:p>
            <w:pPr>
              <w:pStyle w:val="Normal"/>
              <w:rPr/>
            </w:pPr>
            <w:r>
              <w:rPr>
                <w:sz w:val="20"/>
                <w:szCs w:val="20"/>
              </w:rPr>
              <w:t>0 %</w:t>
            </w:r>
          </w:p>
        </w:tc>
      </w:tr>
      <w:tr>
        <w:trPr/>
        <w:tc>
          <w:tcPr>
            <w:tcW w:w="5599"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pPr>
            <w:r>
              <w:rPr>
                <w:sz w:val="20"/>
                <w:szCs w:val="20"/>
              </w:rPr>
              <w:t>13 bis 7 Tage vor Mietbeginn</w:t>
            </w:r>
          </w:p>
        </w:tc>
        <w:tc>
          <w:tcPr>
            <w:tcW w:w="3400"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pPr>
            <w:r>
              <w:rPr>
                <w:sz w:val="20"/>
                <w:szCs w:val="20"/>
              </w:rPr>
              <w:t>20 %</w:t>
            </w:r>
          </w:p>
        </w:tc>
      </w:tr>
      <w:tr>
        <w:trPr/>
        <w:tc>
          <w:tcPr>
            <w:tcW w:w="5599" w:type="dxa"/>
            <w:tcBorders>
              <w:top w:val="single" w:sz="4" w:space="0" w:color="000000"/>
              <w:left w:val="single" w:sz="4" w:space="0" w:color="000000"/>
              <w:bottom w:val="single" w:sz="4" w:space="0" w:color="000000"/>
              <w:right w:val="single" w:sz="4" w:space="0" w:color="000000"/>
            </w:tcBorders>
            <w:shd w:color="auto" w:fill="F7F3E8" w:val="clear"/>
          </w:tcPr>
          <w:p>
            <w:pPr>
              <w:pStyle w:val="Normal"/>
              <w:rPr/>
            </w:pPr>
            <w:r>
              <w:rPr>
                <w:sz w:val="20"/>
                <w:szCs w:val="20"/>
              </w:rPr>
              <w:t>6 bis 2 Tage vor Mietbeginn</w:t>
            </w:r>
          </w:p>
        </w:tc>
        <w:tc>
          <w:tcPr>
            <w:tcW w:w="3400" w:type="dxa"/>
            <w:tcBorders>
              <w:top w:val="single" w:sz="4" w:space="0" w:color="000000"/>
              <w:left w:val="single" w:sz="4" w:space="0" w:color="000000"/>
              <w:bottom w:val="single" w:sz="4" w:space="0" w:color="000000"/>
              <w:right w:val="single" w:sz="4" w:space="0" w:color="000000"/>
            </w:tcBorders>
            <w:shd w:color="auto" w:fill="F7F3E8" w:val="clear"/>
          </w:tcPr>
          <w:p>
            <w:pPr>
              <w:pStyle w:val="Normal"/>
              <w:rPr/>
            </w:pPr>
            <w:r>
              <w:rPr>
                <w:sz w:val="20"/>
                <w:szCs w:val="20"/>
              </w:rPr>
              <w:t>40 %</w:t>
            </w:r>
          </w:p>
        </w:tc>
      </w:tr>
      <w:tr>
        <w:trPr/>
        <w:tc>
          <w:tcPr>
            <w:tcW w:w="5599"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pPr>
            <w:r>
              <w:rPr>
                <w:sz w:val="20"/>
                <w:szCs w:val="20"/>
              </w:rPr>
              <w:t>ab 1 Tag vor Mietbeginn</w:t>
            </w:r>
          </w:p>
        </w:tc>
        <w:tc>
          <w:tcPr>
            <w:tcW w:w="3400"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pPr>
            <w:r>
              <w:rPr>
                <w:sz w:val="20"/>
                <w:szCs w:val="20"/>
              </w:rPr>
              <w:t>60 %</w:t>
            </w:r>
          </w:p>
        </w:tc>
      </w:tr>
    </w:tbl>
    <w:p>
      <w:pPr>
        <w:pStyle w:val="Normal"/>
        <w:spacing w:before="160" w:after="100"/>
        <w:rPr/>
      </w:pPr>
      <w:r>
        <w:rPr/>
      </w:r>
    </w:p>
    <w:p>
      <w:pPr>
        <w:pStyle w:val="Normal"/>
        <w:spacing w:before="0" w:after="100"/>
        <w:ind w:hanging="340" w:left="340"/>
        <w:rPr/>
      </w:pPr>
      <w:r>
        <w:rPr/>
        <w:t>(5) Dem Mieter bleibt der Nachweis vorbehalten, dass kein oder ein geringerer Schaden entstanden ist.</w:t>
      </w:r>
    </w:p>
    <w:p>
      <w:pPr>
        <w:pStyle w:val="Heading2"/>
        <w:pBdr>
          <w:bottom w:val="single" w:sz="4" w:space="4" w:color="9C7A2E"/>
        </w:pBdr>
        <w:spacing w:before="320" w:after="160"/>
        <w:rPr/>
      </w:pPr>
      <w:r>
        <w:rPr/>
        <w:t>§ 12 Versand</w:t>
      </w:r>
    </w:p>
    <w:p>
      <w:pPr>
        <w:pStyle w:val="Normal"/>
        <w:spacing w:before="0" w:after="100"/>
        <w:ind w:hanging="340" w:left="340"/>
        <w:rPr/>
      </w:pPr>
      <w:r>
        <w:rPr/>
        <w:t>(1) Der Versand erfolgt an die vom Mieter angegebene Lieferanschrift. Die Lieferung an eine Packstation ist zulässig.</w:t>
      </w:r>
    </w:p>
    <w:p>
      <w:pPr>
        <w:pStyle w:val="Normal"/>
        <w:spacing w:before="0" w:after="100"/>
        <w:ind w:hanging="340" w:left="340"/>
        <w:rPr/>
      </w:pPr>
      <w:r>
        <w:rPr/>
        <w:t>(2) Die Zustellung erfolgt grundsätzlich gegen Empfängerunterschrift bzw. gegen Abholung an der Packstation unter Verwendung der persönlichen Zugangsdaten des Mieters.</w:t>
      </w:r>
    </w:p>
    <w:p>
      <w:pPr>
        <w:pStyle w:val="Normal"/>
        <w:spacing w:before="0" w:after="100"/>
        <w:ind w:hanging="340" w:left="340"/>
        <w:rPr/>
      </w:pPr>
      <w:r>
        <w:rPr/>
        <w:t xml:space="preserve">(3) Abstellgenehmigung: Hat der Mieter dem Versanddienstleister eine wirksame Genehmigung erteilt, Sendungen ohne persönliche Übergabe an einem von ihm bestimmten Ort abzustellen – sei es allgemein hinterlegt oder für die konkrete Sendung erteilt –, so gilt die Sendung mit dem Abstellen als zugegangen, wenn die rechtlichen Voraussetzungen und die wirksame Genehmigung </w:t>
      </w:r>
      <w:commentRangeStart w:id="19"/>
      <w:r>
        <w:rPr/>
        <w:t>vorliegen</w:t>
      </w:r>
      <w:commentRangeEnd w:id="19"/>
      <w:r>
        <w:commentReference w:id="19"/>
      </w:r>
      <w:r>
        <w:rPr/>
        <w:t>. (4) Nicht abgeholte Sendungen: Unterlässt der Mieter die Abholung oder nimmt er die Sendung aus einem von ihm zu vertretenden Grund nicht entgegen und wird die Sendung deshalb an Carry Golf zurückgesandt, gilt Folgendes:</w:t>
      </w:r>
    </w:p>
    <w:p>
      <w:pPr>
        <w:pStyle w:val="Normal"/>
        <w:spacing w:before="0" w:after="60"/>
        <w:ind w:hanging="340" w:left="340"/>
        <w:rPr/>
      </w:pPr>
      <w:r>
        <w:rPr/>
        <w:t xml:space="preserve">a) </w:t>
      </w:r>
      <w:commentRangeStart w:id="20"/>
      <w:r>
        <w:rPr/>
        <w:t>Maßgeblich</w:t>
      </w:r>
      <w:commentRangeEnd w:id="20"/>
      <w:r>
        <w:commentReference w:id="20"/>
      </w:r>
      <w:r>
        <w:rPr/>
        <w:t xml:space="preserve"> für Beginn und Laufzeit  der Mietzeit bleibt der Tag der ersten Zustellung, an dem der Mietgegenstand dem Mieter erstmals am vereinbarten Lieferort (bzw. zur Abholung in der Packstation/Filiale) bereitgestellt wurde. Die unterbliebene Abholung verlängert die Mietzeit nicht.</w:t>
      </w:r>
    </w:p>
    <w:p>
      <w:pPr>
        <w:pStyle w:val="Normal"/>
        <w:spacing w:before="0" w:after="60"/>
        <w:ind w:hanging="340" w:left="340"/>
        <w:rPr/>
      </w:pPr>
      <w:r>
        <w:rPr/>
        <w:t>b)  Der Vermieter behält für die vereinbarte Mietzeit den Anspruch auf die vereinbarte Miete. Der Vermieter muss sich jedoch den Wert der ersparten Aufwendungen sowie diejenigen Vorteile anrechnen lassen, die er aus einer anderweitigen Verwertung (z. B. Weitervermietung) des Mietgegenstands erlangt oder mutwillig zu erlangen unterlassen hat.c) Der Mieter ist verpflichtet, dem Vermieter die durch den Annahmeverzug entstandenen Mehraufwendungen, insbesondere die Kosten für den erfolglosen Hinversand sowie die Rücksendekosten des Versanddienstleisters, zu erstatten.</w:t>
      </w:r>
    </w:p>
    <w:p>
      <w:pPr>
        <w:pStyle w:val="Normal"/>
        <w:spacing w:before="0" w:after="60"/>
        <w:ind w:hanging="340" w:left="340"/>
        <w:rPr/>
      </w:pPr>
      <w:r>
        <w:rPr/>
        <w:t xml:space="preserve">d) Auf ausdrücklichen Wunsch des Mieters erfolgt ein erneuter Versand des Mietgegenstands, sofern für den gewünschten Zeitraum noch eine Restmietzeit besteht und der Gegenstand verfügbar ist. Die Kosten für diesen erneuten Versand trägt der Mieter. Dem Mieter bleibt der Nachweis gestattet, dass dem Vermieter durch den erneuten Versand kein oder ein wesentlich geringerer Aufwand entstanden ist.e) Abweichend von § 3 Abs. 2 zählen die Transporttage der erneuten Zusendung zur Mietzeit; die nutzbare Restlaufzeit des Mietvertrags verkürzt sich entsprechend, es sei denn, die Verzögerung der ersten Zustellung wurde vom Vermieter oder dem Versanddienstleister verschuldet. </w:t>
      </w:r>
    </w:p>
    <w:p>
      <w:pPr>
        <w:pStyle w:val="Normal"/>
        <w:spacing w:before="0" w:after="120"/>
        <w:rPr/>
      </w:pPr>
      <w:r>
        <w:rPr/>
        <w:t>Dem Mieter bleibt der Nachweis vorbehalten, dass Carry Golf kein oder ein geringerer Aufwand entstanden ist.</w:t>
      </w:r>
    </w:p>
    <w:p>
      <w:pPr>
        <w:pStyle w:val="Normal"/>
        <w:spacing w:before="0" w:after="120"/>
        <w:rPr/>
      </w:pPr>
      <w:r>
        <w:rPr/>
        <w:t xml:space="preserve">Gesetzliche Rechte des Mieters, insbesondere Rechte wegen einer vom Vermieter zu vertretenden Pflichtverletzung oder aufgrund eines gesetzlichen Widerrufsrechts, bleiben unberührt. </w:t>
      </w:r>
    </w:p>
    <w:p>
      <w:pPr>
        <w:pStyle w:val="Normal"/>
        <w:spacing w:before="0" w:after="100"/>
        <w:ind w:hanging="340" w:left="340"/>
        <w:rPr/>
      </w:pPr>
      <w:r>
        <w:rPr/>
        <w:t xml:space="preserve">(5) Der Mieter hat die zumutbaren Maßnahmen zu treffen, um die Entgegennahme des Mietgegenstands zu ermöglichen oder die Sendung innerhalb der vom Versanddienstleister mitgeteilten Abholfrist abzuholen. (6) </w:t>
        <w:commentReference w:id="21"/>
        <w:t>(7) Der Mieter hat den Mietgegenstand für den Rückversand ordnungsgemäß und transportsicher zu verpacken und den vom Vermieter hierfür vorgesehenen Versandweg einzuhalten, wir empfehlen  die mitgelieferte Verpackung zu verwenden. Der Mieter hat den Einlieferungsbeleg aufzubewahren und bei Verlust oder in den o.g. Fällen auf Verlangen vorzulegen.</w:t>
      </w:r>
    </w:p>
    <w:p>
      <w:pPr>
        <w:pStyle w:val="Heading2"/>
        <w:pBdr>
          <w:bottom w:val="single" w:sz="4" w:space="4" w:color="9C7A2E"/>
        </w:pBdr>
        <w:spacing w:before="320" w:after="160"/>
        <w:rPr/>
      </w:pPr>
      <w:r>
        <w:rPr/>
        <w:t>§ 13 Widerrufsrecht für Verbraucher</w:t>
      </w:r>
    </w:p>
    <w:p>
      <w:pPr>
        <w:pStyle w:val="Normal"/>
        <w:spacing w:before="0" w:after="140"/>
        <w:ind w:left="340"/>
        <w:rPr/>
      </w:pPr>
      <w:r>
        <w:rPr/>
        <w:t xml:space="preserve">Beginnt die Vermietung auf ausdrücklichen Wunsch des Mieters vor Ablauf der Widerrufsfrist, sind dem Vermieter vor Versand sowohl die unterschriebenen Mietbedingungen als auch die gesondert übermittelte „Verbrauchererklärung über Beginn der Vermietung vor Ablauf der Widerrufsfrist“ vollständig ausgefüllt und unterschrieben zuzusenden. Liegen dem Vermieter nicht beide Dokumente vor, erfolgt kein Versand des Mietgegenstands. Mit vollständiger Erfüllung des Vertrags erlischt das Widerrufsrecht; bei Widerruf vor vollständiger Erfüllung hat der Mieter Wertersatz gemäß der Verbrauchererklärung zu leisten.</w:t>
      </w:r>
    </w:p>
    <w:p>
      <w:pPr>
        <w:pStyle w:val="Normal"/>
        <w:spacing w:before="0" w:after="140"/>
        <w:ind w:left="340"/>
        <w:rPr>
          <w:b/>
          <w:bCs/>
        </w:rPr>
      </w:pPr>
      <w:commentRangeStart w:id="22"/>
      <w:r>
        <w:rPr>
          <w:b/>
          <w:bCs/>
        </w:rPr>
        <w:t>Widerrufsbelehrung</w:t>
      </w:r>
      <w:commentRangeEnd w:id="22"/>
      <w:r>
        <w:commentReference w:id="22"/>
      </w:r>
      <w:r>
        <w:rPr>
          <w:b/>
          <w:bCs/>
        </w:rPr>
      </w:r>
    </w:p>
    <w:p>
      <w:pPr>
        <w:pStyle w:val="Normal"/>
        <w:spacing w:before="0" w:after="140"/>
        <w:ind w:left="340"/>
        <w:rPr/>
      </w:pPr>
      <w:r>
        <w:rPr>
          <w:b/>
          <w:bCs/>
        </w:rPr>
        <w:t>Widerrufsrecht</w:t>
      </w:r>
      <w:r>
        <w:rPr/>
        <w:br/>
        <w:br/>
        <w:t>Sie haben das Recht, binnen vierzehn Tagen ohne Angabe von Gründen diesen Vertrag zu widerrufen. Die Widerrufsfrist beträgt vierzehn Tage ab dem Tag des Vertragsabschlusses. Um Ihr Widerrufsrecht auszuüben, müssen Sie uns -Carry Golf, Philip Wieczorek, Beethovenstr. 16, 74629 Pfedelbach, E-Mail philip@carrygolf.de, Telefon +49 160 95714726- mittels einer eindeutigen Erklärung (z.B. ein mit der Post versandter Brief, oder E-Mail) über Ihren Entschluss, diesen Vertrag zu widerrufen, informieren. Sie können dafür das als gesondertes Dokument bereitgestellte Muster-Widerrufsformular verwenden, das jedoch nicht vorgeschrieben ist. Zur Wahrung der Widerrufsfrist reicht es aus, dass Sie die Mitteilung über die Ausübung des Widerrufsrechts vor Ablauf der Widerrufsfrist absenden.</w:t>
      </w:r>
    </w:p>
    <w:p>
      <w:pPr>
        <w:pStyle w:val="Normal"/>
        <w:spacing w:before="0" w:after="140"/>
        <w:ind w:left="340"/>
        <w:rPr/>
      </w:pPr>
      <w:r>
        <w:rPr>
          <w:b/>
          <w:bCs/>
        </w:rPr>
        <w:t>Folgen des Widerrufs</w:t>
      </w:r>
      <w:r>
        <w:rPr/>
        <w:br/>
        <w:b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Haben Sie verlangt, dass die Dienstleistungen oder Vermietung während der Widerrufsfrist beginnen soll, so haben Sie uns einen angemessenen Betrag zu zahlen, der dem Anteil der bis zu dem Zeitpunkt, zu dem Sie uns von der Ausübung des Widerrufsrechts hinsichtlich dieses Vertrags unterrichten, bereits erbrachten Dienstleistungen oder Vermietung im Vergleich zum Gesamtumfang der im Vertrag vorgesehenen Dienstleistungen oder Vermietung </w:t>
      </w:r>
      <w:commentRangeStart w:id="23"/>
      <w:r>
        <w:rPr/>
        <w:t>entspricht</w:t>
      </w:r>
      <w:commentRangeEnd w:id="23"/>
      <w:r>
        <w:commentReference w:id="23"/>
      </w:r>
      <w:r>
        <w:rPr/>
        <w:t>.</w:t>
      </w:r>
    </w:p>
    <w:p>
      <w:pPr>
        <w:pStyle w:val="Normal"/>
        <w:spacing w:before="0" w:after="140"/>
        <w:ind w:left="340"/>
        <w:rPr/>
      </w:pPr>
      <w:r>
        <w:rPr>
          <w:b/>
          <w:bCs/>
        </w:rPr>
        <w:t>Ende der Widerrufsbelehrung</w:t>
      </w:r>
    </w:p>
    <w:p>
      <w:pPr>
        <w:pStyle w:val="Heading2"/>
        <w:pBdr>
          <w:bottom w:val="single" w:sz="4" w:space="4" w:color="9C7A2E"/>
        </w:pBdr>
        <w:spacing w:before="320" w:after="160"/>
        <w:rPr/>
      </w:pPr>
      <w:r>
        <w:rPr/>
        <w:t>§ 14 Datenschutz</w:t>
      </w:r>
    </w:p>
    <w:p>
      <w:pPr>
        <w:pStyle w:val="Normal"/>
        <w:spacing w:before="0" w:after="120"/>
        <w:rPr/>
      </w:pPr>
      <w:r>
        <w:rPr/>
        <w:t>Die Verarbeitung personenbezogener Daten erfolgt nach der Datenschutzerklärung und in Übereinstimmung mit den gesetzlichen Vorschriften. Aufnahmen von Personen bei Übergaben oder Veranstaltungen erfolgen nur auf Grundlage einer gesonderten Einwilligung.</w:t>
      </w:r>
    </w:p>
    <w:p>
      <w:pPr>
        <w:pStyle w:val="Heading2"/>
        <w:pBdr>
          <w:bottom w:val="single" w:sz="4" w:space="4" w:color="9C7A2E"/>
        </w:pBdr>
        <w:spacing w:before="320" w:after="160"/>
        <w:rPr/>
      </w:pPr>
      <w:r>
        <w:rPr/>
        <w:t>§ 15 Schlussbestimmungen</w:t>
      </w:r>
    </w:p>
    <w:p>
      <w:pPr>
        <w:pStyle w:val="Normal"/>
        <w:spacing w:before="0" w:after="100"/>
        <w:ind w:hanging="340" w:left="340"/>
        <w:rPr/>
      </w:pPr>
      <w:r>
        <w:rPr/>
        <w:t>(1) Es gilt deutsches Recht. Bei Verbrauchern bleiben zwingende Vorschriften des Aufenthaltsstaates unberührt.</w:t>
      </w:r>
    </w:p>
    <w:p>
      <w:pPr>
        <w:pStyle w:val="Normal"/>
        <w:spacing w:before="0" w:after="100"/>
        <w:ind w:hanging="340" w:left="340"/>
        <w:rPr/>
      </w:pPr>
      <w:r>
        <w:rPr/>
        <w:t>(2) Gerichtsstand ist bei gewerblichen Mietern, Unternehmen und Kaufleuten der Sitz von Carry Golf.</w:t>
      </w:r>
    </w:p>
    <w:p>
      <w:pPr>
        <w:pStyle w:val="Normal"/>
        <w:spacing w:before="0" w:after="100"/>
        <w:ind w:hanging="340" w:left="340"/>
        <w:rPr/>
      </w:pPr>
      <w:r>
        <w:rPr/>
        <w:t>(3) Sollte eine Bestimmung unwirksam sein, bleibt der Vertrag im Übrigen wirksam.</w:t>
      </w:r>
    </w:p>
    <w:p>
      <w:pPr>
        <w:pStyle w:val="Heading2"/>
        <w:pBdr>
          <w:bottom w:val="single" w:sz="4" w:space="4" w:color="999999"/>
        </w:pBdr>
        <w:spacing w:before="400" w:after="160"/>
        <w:rPr/>
      </w:pPr>
      <w:r>
        <w:rPr>
          <w:i/>
          <w:iCs/>
          <w:color w:val="555555"/>
          <w:sz w:val="24"/>
          <w:szCs w:val="24"/>
        </w:rPr>
        <w:t>Anhang – interne Hinweise (nicht Vertragsbestandteil)</w:t>
      </w:r>
    </w:p>
    <w:p>
      <w:pPr>
        <w:pStyle w:val="Normal"/>
        <w:spacing w:before="0" w:after="120"/>
        <w:rPr/>
      </w:pPr>
      <w:r>
        <w:rPr>
          <w:i/>
          <w:iCs/>
          <w:color w:val="555555"/>
        </w:rPr>
        <w:t>Kulanz bei verspäteter Rückgabe: Der Vertrag sichert den Anspruch ab dem ersten Tag. In der Praxis wird der erste Verspätungstag bis auf Weiteres nicht berechnet. Diese Kulanz ist bewusst nicht im Vertrag geregelt, damit sie bei steigendem Buchungsaufkommen ohne Vertragsänderung entfallen kann.</w:t>
      </w:r>
    </w:p>
    <w:p>
      <w:pPr>
        <w:pStyle w:val="Normal"/>
        <w:spacing w:before="0" w:after="120"/>
        <w:rPr/>
      </w:pPr>
      <w:r>
        <w:rPr>
          <w:i/>
          <w:iCs/>
          <w:color w:val="555555"/>
        </w:rPr>
        <w:t>Kapazitätsplanung: Da Transporttage nicht berechnet werden, blockiert eine 7-Tage-Miete real 10–11 Tage (Hinversand, Mietzeit, Rückversand, Q-Check). Die Verfügbarkeitslogik der Website muss diesen Puffer abbilden.</w:t>
      </w:r>
    </w:p>
    <w:p>
      <w:pPr>
        <w:pStyle w:val="Normal"/>
        <w:spacing w:before="0" w:after="120"/>
        <w:rPr/>
      </w:pPr>
      <w:r>
        <w:rPr>
          <w:i/>
          <w:iCs/>
          <w:color w:val="555555"/>
        </w:rPr>
        <w:t>Zeitwerttabelle: Für § 8 Abs. 3 ist je Gerät eine dokumentierte Zeitwertermittlung zu führen (Anschaffungsdatum, Preis, Abschreibungsmethode).</w:t>
      </w:r>
    </w:p>
    <w:p>
      <w:pPr>
        <w:pStyle w:val="Normal"/>
        <w:spacing w:before="0" w:after="120"/>
        <w:rPr/>
      </w:pPr>
      <w:r>
        <w:rPr>
          <w:i/>
          <w:iCs/>
          <w:color w:val="555555"/>
        </w:rPr>
        <w:t>Ablauf und Kommunikation: Buchungsbestätigung → Rechnung → Zahlungseingang → Anmeldung und Übergabe der Sendung an den Versanddienstleister. Eine eigene Versandankündigung durch Carry Golf ist bewusst nicht vorgesehen; sämtliche Statusmeldungen erhält der Mieter unmittelbar vom Versanddienstleister an die bei der Buchung angegebene E-Mail-Adresse.</w:t>
      </w:r>
    </w:p>
    <w:p>
      <w:pPr>
        <w:pStyle w:val="Normal"/>
        <w:spacing w:before="0" w:after="120"/>
        <w:rPr/>
      </w:pPr>
      <w:r>
        <w:rPr>
          <w:i/>
          <w:iCs/>
          <w:color w:val="555555"/>
        </w:rPr>
        <w:t>Die Hinweise zu Abholfrist, Abstellgenehmigung und Mietbeginn gehören daher in die Buchungsbestätigung. Das ist die einzige Nachricht von Carry Golf, die den Mieter vor dem Versand erreicht — und sie geht ohnehin heraus, da der Vertrag nach § 1 Abs. 3 erst mit ihr zustande kommt.</w:t>
      </w:r>
    </w:p>
    <w:p>
      <w:pPr>
        <w:pStyle w:val="Normal"/>
        <w:spacing w:before="0" w:after="120"/>
        <w:rPr/>
      </w:pPr>
      <w:r>
        <w:rPr>
          <w:i/>
          <w:iCs/>
          <w:color w:val="555555"/>
        </w:rPr>
        <w:t>Sprachregelung: Die Begriffe Versicherung, Prämie, Deckung, Selbstbeteiligung und Schutzpaket werden weder im Vertrag noch auf der Website verwendet.</w:t>
      </w:r>
    </w:p>
    <w:p>
      <w:pPr>
        <w:pStyle w:val="Normal"/>
        <w:spacing w:before="0" w:after="120"/>
        <w:rPr/>
      </w:pPr>
      <w:r>
        <w:rPr>
          <w:i/>
          <w:iCs/>
          <w:color w:val="555555"/>
        </w:rPr>
        <w:t>Auslandsnutzung: Nur EU-Nachbarstaaten, Drittstaaten einschließlich der Schweiz sind ausgeschlossen. Grund: Zollformalitäten bei Aus- und Wiedereinfuhr sowie deutlich aufwendigere Rechtsverfolgung außerhalb der EU. Bei Zustimmung empfiehlt sich, die Kaution per Überweisung statt per Kartenreservierung zu stellen.</w:t>
      </w:r>
    </w:p>
    <w:p>
      <w:pPr>
        <w:pStyle w:val="Normal"/>
        <w:spacing w:before="0" w:after="120"/>
        <w:rPr/>
      </w:pPr>
      <w:r>
        <w:rPr>
          <w:i/>
          <w:iCs/>
          <w:color w:val="555555"/>
        </w:rPr>
        <w:t>Wintersaison: Die kommerzielle Logik (festes Ende, gestaffelter Einstieg) ist noch nicht entschieden. Der Vertrag verweist bewusst auf die Buchungsbestätigung, sodass die Entscheidung ohne Vertragsänderung nachgezogen werden kann.</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0" w:right="1300" w:gutter="0" w:header="708" w:top="1300" w:footer="708" w:bottom="1300"/>
      <w:pgNumType w:fmt="decimal"/>
      <w:formProt w:val="false"/>
      <w:textDirection w:val="lrTb"/>
      <w:docGrid w:type="default" w:linePitch="360" w:charSpace="6143"/>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Da es sich um einen allgemeinen Begriff aus der englischen Sprache handelt ist eine Klarstellung zu empfehlen, daß hier der  Vermieter genannt wird.. </w:t>
      </w:r>
    </w:p>
  </w:comment>
  <w:comment w:id="1"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Eine klare Frist wie lange der Kunde an sein Angebot gebunden ist wäre empfehlenswert. </w:t>
      </w:r>
    </w:p>
  </w:comment>
  <w:comment w:id="2" w:author="TM" w:date="2026-08-24T17:37:00Z" w:initials="T">
    <w:p>
      <w:pPr>
        <w:overflowPunct w:val="false"/>
        <w:rPr/>
      </w:pPr>
      <w:r>
        <w:rPr>
          <w:rFonts w:ascii="Liberation Serif" w:hAnsi="Liberation Serif" w:eastAsia="DejaVu Sans" w:cs="DejaVu Sans"/>
          <w:color w:val="auto"/>
          <w:sz w:val="24"/>
          <w:szCs w:val="24"/>
          <w:lang w:val="en-US" w:eastAsia="en-US" w:bidi="en-US"/>
        </w:rPr>
        <w:t>Eine konkrete Beschreibung der Geräte auf der Website ist anzuraten.</w:t>
      </w:r>
    </w:p>
  </w:comment>
  <w:comment w:id="3" w:author="TM" w:date="2026-08-24T17:37:00Z" w:initials="T">
    <w:p>
      <w:pPr>
        <w:overflowPunct w:val="false"/>
        <w:rPr/>
      </w:pPr>
      <w:r>
        <w:rPr>
          <w:rFonts w:ascii="Liberation Serif" w:hAnsi="Liberation Serif" w:eastAsia="DejaVu Sans" w:cs="DejaVu Sans"/>
          <w:color w:val="auto"/>
          <w:sz w:val="24"/>
          <w:szCs w:val="24"/>
          <w:lang w:val="en-US" w:eastAsia="en-US" w:bidi="en-US"/>
        </w:rPr>
        <w:t>Ich würde empfehlen die Klausel so zu formulieren. Nutzungstage und Kalendertage sind keine Gegensätze, die Nutzungstage bestehen aus Kalendertagen..</w:t>
      </w:r>
    </w:p>
  </w:comment>
  <w:comment w:id="4"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Diesen Zusatz empfehle ich zur Klarstellung. </w:t>
      </w:r>
    </w:p>
  </w:comment>
  <w:comment w:id="5" w:author="TM" w:date="2026-08-24T17:37:00Z" w:initials="T">
    <w:p>
      <w:pPr>
        <w:overflowPunct w:val="false"/>
        <w:rPr/>
      </w:pPr>
      <w:r>
        <w:rPr>
          <w:rFonts w:ascii="Liberation Serif" w:hAnsi="Liberation Serif" w:eastAsia="DejaVu Sans" w:cs="DejaVu Sans"/>
          <w:color w:val="auto"/>
          <w:sz w:val="24"/>
          <w:szCs w:val="24"/>
          <w:lang w:val="en-US" w:eastAsia="en-US" w:bidi="en-US"/>
        </w:rPr>
        <w:t>Diese Bedingung ist nach meiner Bewertung im Rahmen der Vertragsfreiheit zulässig.</w:t>
      </w:r>
    </w:p>
  </w:comment>
  <w:comment w:id="6"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Wenn Sie „Reinigung“ vorschreiben sollte das konkretisiert werden, damit die Mieter das Gerät nicht „in eine Waschmaschine stellen“.  </w:t>
      </w:r>
    </w:p>
  </w:comment>
  <w:comment w:id="7"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Zwar rechtlich nicht vorgeschrieben,  die Klausel könnte man jedoch in § 7 umbenennen. </w:t>
      </w:r>
    </w:p>
  </w:comment>
  <w:comment w:id="8"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Es sollte nicht so wirken, daß der Wegfall der Haftungsreduzierung die einzige Sanktion bei untersagter Auslandsnutzung wäre. </w:t>
      </w:r>
    </w:p>
  </w:comment>
  <w:comment w:id="9"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Eine Prüfung des Vertragsgegenstand bei Empfang halte ich auch gegenüber Verbrauchern möglich. </w:t>
      </w:r>
    </w:p>
  </w:comment>
  <w:comment w:id="10"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Diese Regelungen verhindern z.B. einen Minderungs- oder Schadensersatzanspruch wenn der Mieter den Mangel nicht anzeigt und der Vermieter keinen Ersatz beschaffen kann. </w:t>
      </w:r>
    </w:p>
  </w:comment>
  <w:comment w:id="11"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Bitte beachten: Das Alter ist lediglich ein Indikator für den Wert der Gegenstände. Wenn der Gegenstand schon z.B, Vorbeschädigungen hatte o.ä. könnte der Schadensersatzanspruch auch einen anderen Umfang haben. </w:t>
      </w:r>
    </w:p>
  </w:comment>
  <w:comment w:id="12"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Diese Regelung gilt für die vorgenannten Schadensersatzansprüche, logischerweise nicht für die Haftungsreduzierung.  </w:t>
      </w:r>
    </w:p>
  </w:comment>
  <w:comment w:id="13" w:author="TM" w:date="2026-08-24T17:37:00Z" w:initials="T">
    <w:p>
      <w:pPr>
        <w:overflowPunct w:val="false"/>
        <w:rPr/>
      </w:pPr>
      <w:r>
        <w:rPr>
          <w:rFonts w:ascii="Liberation Serif" w:hAnsi="Liberation Serif" w:eastAsia="DejaVu Sans" w:cs="DejaVu Sans"/>
          <w:color w:val="auto"/>
          <w:sz w:val="24"/>
          <w:szCs w:val="24"/>
          <w:lang w:val="en-US" w:eastAsia="en-US" w:bidi="en-US"/>
        </w:rPr>
        <w:t>Nach meiner Prüfung und Bewertung grundsätzlich zulässig. Es handelt sich um eine entgeltliche Haftungsreduzierung und kein Versicherungsgeschäft. Versicherungsgeschäft setzt fremdes Wagnis voraus, und keine Risikoabwälzung im eigenen Vertragsverhältnis.</w:t>
      </w:r>
    </w:p>
  </w:comment>
  <w:comment w:id="14"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Der BGH hat in der Vergangenheit entschieden, daß auch bei einer vertraglichen Haftungsbeschränkung – mit Verweis auf § 81 VVG – eine Gleichsetzung von Vorsatz und grober Fahrlässigkeit eine unangemessene Benachteiligung sein kann, die die Regelung unwirksam macht. Daher die Änderung. </w:t>
      </w:r>
    </w:p>
  </w:comment>
  <w:comment w:id="15"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Gegen eine Erinnerung ist nichts zu sagen, ich würde jedoch nicht raten dies als Pflicht aufzunehmen. Ansonsten könnte der Mieter geltend machen die Verspätung sein vom Vermieter mitverursacht, weil kein E-Mail Zugang nachgewiesen werden kann. </w:t>
      </w:r>
    </w:p>
  </w:comment>
  <w:comment w:id="16" w:author="TM" w:date="2026-08-24T17:37:00Z" w:initials="T">
    <w:p>
      <w:pPr>
        <w:overflowPunct w:val="false"/>
        <w:rPr/>
      </w:pPr>
      <w:r>
        <w:rPr>
          <w:rFonts w:ascii="Liberation Serif" w:hAnsi="Liberation Serif" w:eastAsia="DejaVu Sans" w:cs="DejaVu Sans"/>
          <w:color w:val="auto"/>
          <w:sz w:val="24"/>
          <w:szCs w:val="24"/>
          <w:lang w:val="en-US" w:eastAsia="en-US" w:bidi="en-US"/>
        </w:rPr>
        <w:t>Die hier enthaltene Haftungsbegrenzung ist nach der Rechtsprechung auch gegenüber Verbrauchern zulässig und wirksam.</w:t>
      </w:r>
    </w:p>
  </w:comment>
  <w:comment w:id="17"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Zumindest bei Verbrauchern halte ich diese Einschränkung für problematisch. Dies könnte als „unangemessene Benachteiligung“ nach § 307ff BGB gewertet werden. Es handelt sich bei den Mietbedingungen um AGB. </w:t>
      </w:r>
    </w:p>
  </w:comment>
  <w:comment w:id="18" w:author="TM" w:date="2026-08-24T17:37:00Z" w:initials="T">
    <w:p>
      <w:pPr>
        <w:overflowPunct w:val="false"/>
        <w:rPr/>
      </w:pPr>
      <w:r>
        <w:rPr>
          <w:rFonts w:ascii="Liberation Serif" w:hAnsi="Liberation Serif" w:eastAsia="DejaVu Sans" w:cs="DejaVu Sans"/>
          <w:color w:val="auto"/>
          <w:sz w:val="24"/>
          <w:szCs w:val="24"/>
          <w:lang w:val="en-US" w:eastAsia="en-US" w:bidi="en-US"/>
        </w:rPr>
        <w:t>Es ist grundsätzlich möglich derartige Pauschalen zu vereinbaren. Allerdings müssen die Sätze die Voraussetzungen des § 309 Nr.5 BGB erfüllen:“ § 309 Klauselverbote ohne Wertungsmöglichkeit</w:t>
      </w:r>
    </w:p>
    <w:p>
      <w:pPr>
        <w:overflowPunct w:val="false"/>
        <w:rPr/>
      </w:pPr>
      <w:r>
        <w:rPr>
          <w:rFonts w:ascii="Liberation Serif" w:hAnsi="Liberation Serif" w:eastAsia="DejaVu Sans" w:cs="DejaVu Sans"/>
          <w:color w:val="auto"/>
          <w:sz w:val="24"/>
          <w:szCs w:val="24"/>
          <w:lang w:val="en-US" w:eastAsia="en-US" w:bidi="en-US"/>
        </w:rPr>
        <w:t>Auch soweit eine Abweichung von den gesetzlichen Vorschriften zulässig ist, ist in Allgemeinen Geschäftsbedingungen unwirksam….</w:t>
      </w:r>
    </w:p>
    <w:p>
      <w:pPr>
        <w:overflowPunct w:val="false"/>
        <w:rPr/>
      </w:pPr>
      <w:r>
        <w:rPr>
          <w:rFonts w:ascii="Liberation Serif" w:hAnsi="Liberation Serif" w:eastAsia="DejaVu Sans" w:cs="DejaVu Sans"/>
          <w:color w:val="auto"/>
          <w:sz w:val="24"/>
          <w:szCs w:val="24"/>
          <w:lang w:val="en-US" w:eastAsia="en-US" w:bidi="en-US"/>
        </w:rPr>
        <w:t>5.(Pauschalierung von Schadensersatzansprüchen)</w:t>
      </w:r>
    </w:p>
    <w:p>
      <w:pPr>
        <w:overflowPunct w:val="false"/>
        <w:rPr/>
      </w:pPr>
      <w:r>
        <w:rPr>
          <w:rFonts w:ascii="Liberation Serif" w:hAnsi="Liberation Serif" w:eastAsia="DejaVu Sans" w:cs="DejaVu Sans"/>
          <w:color w:val="auto"/>
          <w:sz w:val="24"/>
          <w:szCs w:val="24"/>
          <w:lang w:val="en-US" w:eastAsia="en-US" w:bidi="en-US"/>
        </w:rPr>
        <w:t xml:space="preserve">    die Vereinbarung eines pauschalierten Anspruchs des Verwenders auf Schadensersatz oder Ersatz einer Wertminderung, wenn</w:t>
      </w:r>
    </w:p>
    <w:p>
      <w:pPr>
        <w:overflowPunct w:val="false"/>
        <w:rPr/>
      </w:pPr>
      <w:r>
        <w:rPr>
          <w:rFonts w:ascii="Liberation Serif" w:hAnsi="Liberation Serif" w:eastAsia="DejaVu Sans" w:cs="DejaVu Sans"/>
          <w:color w:val="auto"/>
          <w:sz w:val="24"/>
          <w:szCs w:val="24"/>
          <w:lang w:val="en-US" w:eastAsia="en-US" w:bidi="en-US"/>
        </w:rPr>
      </w:r>
    </w:p>
    <w:p>
      <w:pPr>
        <w:overflowPunct w:val="false"/>
        <w:rPr/>
      </w:pPr>
      <w:r>
        <w:rPr>
          <w:rFonts w:ascii="Liberation Serif" w:hAnsi="Liberation Serif" w:eastAsia="DejaVu Sans" w:cs="DejaVu Sans"/>
          <w:color w:val="auto"/>
          <w:sz w:val="24"/>
          <w:szCs w:val="24"/>
          <w:lang w:val="en-US" w:eastAsia="en-US" w:bidi="en-US"/>
        </w:rPr>
        <w:t xml:space="preserve">    a</w:t>
      </w:r>
      <w:r>
        <w:rPr>
          <w:rFonts w:ascii="Liberation Serif" w:hAnsi="Liberation Serif" w:eastAsia="DejaVu Sans" w:cs="DejaVu Sans"/>
          <w:color w:val="auto"/>
          <w:sz w:val="24"/>
          <w:szCs w:val="24"/>
          <w:u w:val="single"/>
          <w:lang w:val="en-US" w:eastAsia="en-US" w:bidi="en-US"/>
        </w:rPr>
        <w:t>) die Pauschale den in den geregelten Fällen nach dem gewöhnlichen Lauf der Dinge zu erwartenden Schaden oder die gewöhnlich eintretende Wertminderung übersteigt</w:t>
      </w:r>
      <w:r>
        <w:rPr>
          <w:rFonts w:ascii="Liberation Serif" w:hAnsi="Liberation Serif" w:eastAsia="DejaVu Sans" w:cs="DejaVu Sans"/>
          <w:color w:val="auto"/>
          <w:sz w:val="24"/>
          <w:szCs w:val="24"/>
          <w:lang w:val="en-US" w:eastAsia="en-US" w:bidi="en-US"/>
        </w:rPr>
        <w:t xml:space="preserve"> oder</w:t>
      </w:r>
    </w:p>
    <w:p>
      <w:pPr>
        <w:overflowPunct w:val="false"/>
        <w:rPr/>
      </w:pPr>
      <w:r>
        <w:rPr>
          <w:rFonts w:ascii="Liberation Serif" w:hAnsi="Liberation Serif" w:eastAsia="DejaVu Sans" w:cs="DejaVu Sans"/>
          <w:color w:val="auto"/>
          <w:sz w:val="24"/>
          <w:szCs w:val="24"/>
          <w:lang w:val="en-US" w:eastAsia="en-US" w:bidi="en-US"/>
        </w:rPr>
        <w:t xml:space="preserve">    b)  dem anderen Vertragsteil nicht ausdrücklich der Nachweis gestattet wird, ein Schaden oder eine Wertminderung sei überhaupt nicht entstanden oder wesentlich niedriger als die Pauschale;“</w:t>
      </w:r>
    </w:p>
    <w:p>
      <w:pPr>
        <w:overflowPunct w:val="false"/>
        <w:rPr/>
      </w:pPr>
      <w:r>
        <w:rPr>
          <w:rFonts w:ascii="Liberation Serif" w:hAnsi="Liberation Serif" w:eastAsia="DejaVu Sans" w:cs="DejaVu Sans"/>
          <w:color w:val="auto"/>
          <w:sz w:val="24"/>
          <w:szCs w:val="24"/>
          <w:lang w:val="en-US" w:eastAsia="en-US" w:bidi="en-US"/>
        </w:rPr>
      </w:r>
    </w:p>
    <w:p>
      <w:pPr>
        <w:overflowPunct w:val="false"/>
        <w:rPr/>
      </w:pPr>
      <w:r>
        <w:rPr>
          <w:rFonts w:ascii="Liberation Serif" w:hAnsi="Liberation Serif" w:eastAsia="DejaVu Sans" w:cs="DejaVu Sans"/>
          <w:color w:val="auto"/>
          <w:sz w:val="24"/>
          <w:szCs w:val="24"/>
          <w:lang w:val="en-US" w:eastAsia="en-US" w:bidi="en-US"/>
        </w:rPr>
        <w:t xml:space="preserve">Die Voraussetzung b) ist durch Abs. 5 erfüllt. Ob die Voraussetzung a) ebenfalls erfüllt ist, wäre im Streitfall nachzuweisen. Daher ist es empfehlenswert die Pauschale eher etwas niedriger anzusetzen, in jedem Fall sollte die Pauschale jedoch möglichst realistisch den zu erwartenden Schaden darstellen. </w:t>
      </w:r>
    </w:p>
  </w:comment>
  <w:comment w:id="19" w:author="TM" w:date="2026-08-24T18:08:00Z" w:initials="T">
    <w:p>
      <w:pPr>
        <w:overflowPunct w:val="false"/>
        <w:rPr/>
      </w:pPr>
      <w:r>
        <w:rPr>
          <w:rFonts w:ascii="Liberation Serif" w:hAnsi="Liberation Serif" w:eastAsia="DejaVu Sans" w:cs="DejaVu Sans"/>
          <w:color w:val="auto"/>
          <w:sz w:val="24"/>
          <w:szCs w:val="24"/>
          <w:lang w:val="en-US" w:eastAsia="en-US" w:bidi="en-US"/>
        </w:rPr>
        <w:t xml:space="preserve">Sie können nicht die Rechtsverhältnisse zwischen Versanddienstleister und Empfänger regeln, daher sind diese Bestimmungen zu streichen. Zugang einer  Sendung, hängt davon ab, ob die rechtlichen Voraussetzungen vorliegen, Pflichtverletzungen des Versanddienstleisters können einem Verbraucher nicht zugerechnet werden, auch bei einer Abstellungsgenehmigung. </w:t>
      </w:r>
    </w:p>
  </w:comment>
  <w:comment w:id="20" w:author="TM" w:date="2026-08-24T17:37:00Z" w:initials="T">
    <w:p>
      <w:pPr>
        <w:overflowPunct w:val="false"/>
        <w:rPr/>
      </w:pPr>
      <w:r>
        <w:rPr>
          <w:rFonts w:ascii="Liberation Serif" w:hAnsi="Liberation Serif" w:eastAsia="DejaVu Sans" w:cs="DejaVu Sans"/>
          <w:color w:val="auto"/>
          <w:sz w:val="24"/>
          <w:szCs w:val="24"/>
          <w:lang w:val="en-US" w:eastAsia="en-US" w:bidi="en-US"/>
        </w:rPr>
        <w:t xml:space="preserve">Gegenüber Verbrauchern ist es immer risikobehaftet  Fiktionen der Leistungserbringung oder Zustellung anzuwenden. Daher halte ich diese Änderungen für besser geeignet. </w:t>
      </w:r>
    </w:p>
  </w:comment>
  <w:comment w:id="21" w:author="TM" w:date="2026-08-24T18:13:00Z" w:initials="T">
    <w:p>
      <w:pPr>
        <w:overflowPunct w:val="false"/>
        <w:rPr/>
      </w:pPr>
      <w:r>
        <w:rPr>
          <w:rFonts w:ascii="Liberation Serif" w:hAnsi="Liberation Serif" w:eastAsia="DejaVu Sans" w:cs="DejaVu Sans"/>
          <w:color w:val="auto"/>
          <w:sz w:val="24"/>
          <w:szCs w:val="24"/>
          <w:lang w:val="en-US" w:eastAsia="en-US" w:bidi="en-US"/>
        </w:rPr>
        <w:t xml:space="preserve">Bereits in § 8 Abs. 6 geregelt. </w:t>
      </w:r>
    </w:p>
  </w:comment>
  <w:comment w:id="22" w:author="TM" w:date="2026-08-24T17:37:00Z" w:initials="T">
    <w:p>
      <w:pPr>
        <w:overflowPunct w:val="false"/>
        <w:rPr/>
      </w:pPr>
      <w:r>
        <w:rPr>
          <w:rFonts w:ascii="Liberation Serif" w:hAnsi="Liberation Serif" w:eastAsia="DejaVu Sans" w:cs="DejaVu Sans"/>
          <w:color w:val="auto"/>
          <w:sz w:val="24"/>
          <w:szCs w:val="24"/>
          <w:lang w:val="en-US" w:eastAsia="en-US" w:bidi="en-US"/>
        </w:rPr>
        <w:t>Das Widerrufsrecht ist im vorliegenden Fall etwas komplizierter, da es sich um einen Mietvertrag – keinen Kaufvertrag – im Fernabsatz handelt:</w:t>
      </w:r>
    </w:p>
    <w:p>
      <w:pPr>
        <w:overflowPunct w:val="false"/>
        <w:rPr/>
      </w:pPr>
      <w:r>
        <w:rPr>
          <w:rFonts w:ascii="Liberation Serif" w:hAnsi="Liberation Serif" w:eastAsia="DejaVu Sans" w:cs="DejaVu Sans"/>
          <w:color w:val="auto"/>
          <w:sz w:val="24"/>
          <w:szCs w:val="24"/>
          <w:lang w:val="en-US" w:eastAsia="en-US" w:bidi="en-US"/>
        </w:rPr>
      </w:r>
    </w:p>
    <w:p>
      <w:pPr>
        <w:overflowPunct w:val="false"/>
        <w:rPr/>
      </w:pPr>
      <w:r>
        <w:rPr>
          <w:rFonts w:ascii="Liberation Serif" w:hAnsi="Liberation Serif" w:eastAsia="DejaVu Sans" w:cs="DejaVu Sans"/>
          <w:color w:val="auto"/>
          <w:sz w:val="24"/>
          <w:szCs w:val="24"/>
          <w:lang w:val="en-US" w:eastAsia="en-US" w:bidi="en-US"/>
        </w:rPr>
        <w:t>1.Ausgangspunkt: Im Fernabsatz besteht ein Widerrufsrecht des Verbrauchers nach § 312c (Fernabsatzverträge)</w:t>
      </w:r>
    </w:p>
    <w:p>
      <w:pPr>
        <w:overflowPunct w:val="false"/>
        <w:rPr/>
      </w:pPr>
      <w:r>
        <w:rPr>
          <w:rFonts w:ascii="Liberation Serif" w:hAnsi="Liberation Serif" w:eastAsia="DejaVu Sans" w:cs="DejaVu Sans"/>
          <w:color w:val="auto"/>
          <w:sz w:val="24"/>
          <w:szCs w:val="24"/>
          <w:lang w:val="en-US" w:eastAsia="en-US" w:bidi="en-US"/>
        </w:rPr>
        <w:t xml:space="preserve">2.Eine Ausnahme nach § 312g Nr. 9 liegt nicht vor, da es sich um eine gewerbliche Vermietung von Gegenständen handelt. </w:t>
      </w:r>
    </w:p>
    <w:p>
      <w:pPr>
        <w:overflowPunct w:val="false"/>
        <w:rPr/>
      </w:pPr>
      <w:r>
        <w:rPr>
          <w:rFonts w:ascii="Liberation Serif" w:hAnsi="Liberation Serif" w:eastAsia="DejaVu Sans" w:cs="DejaVu Sans"/>
          <w:color w:val="auto"/>
          <w:sz w:val="24"/>
          <w:szCs w:val="24"/>
          <w:lang w:val="en-US" w:eastAsia="en-US" w:bidi="en-US"/>
        </w:rPr>
        <w:t>3.Dann muß der Verbraucher bei Vertragsschluß (Auftragsbestätigung) zunächst über sein Widerrufsrecht belehrt werden (siehe diese Widerrufsbelehrung).</w:t>
      </w:r>
    </w:p>
    <w:p>
      <w:pPr>
        <w:overflowPunct w:val="false"/>
        <w:rPr/>
      </w:pPr>
      <w:r>
        <w:rPr>
          <w:rFonts w:ascii="Liberation Serif" w:hAnsi="Liberation Serif" w:eastAsia="DejaVu Sans" w:cs="DejaVu Sans"/>
          <w:color w:val="auto"/>
          <w:sz w:val="24"/>
          <w:szCs w:val="24"/>
          <w:lang w:val="en-US" w:eastAsia="en-US" w:bidi="en-US"/>
        </w:rPr>
        <w:t>4.Hier handelt es sich um Mietvertrag im Fernabsatz: Dann gilt § 355 Abs. 2 BGB:</w:t>
      </w:r>
    </w:p>
    <w:p>
      <w:pPr>
        <w:overflowPunct w:val="false"/>
        <w:rPr/>
      </w:pPr>
      <w:r>
        <w:rPr>
          <w:rFonts w:ascii="Liberation Serif" w:hAnsi="Liberation Serif" w:eastAsia="DejaVu Sans" w:cs="DejaVu Sans"/>
          <w:color w:val="auto"/>
          <w:sz w:val="24"/>
          <w:szCs w:val="24"/>
          <w:lang w:val="en-US" w:eastAsia="en-US" w:bidi="en-US"/>
        </w:rPr>
        <w:t>((2) Die Widerrufsfrist beträgt 14 Tage. Sie beginnt mit Vertragsschluss, soweit nichts anderes bestimmt ist.</w:t>
      </w:r>
    </w:p>
  </w:comment>
  <w:comment w:id="23" w:author="TM" w:date="2026-08-24T18:18:00Z" w:initials="T">
    <w:p>
      <w:pPr>
        <w:overflowPunct w:val="false"/>
        <w:rPr/>
      </w:pPr>
      <w:r>
        <w:rPr>
          <w:rFonts w:ascii="Liberation Serif" w:hAnsi="Liberation Serif" w:eastAsia="DejaVu Sans" w:cs="DejaVu Sans"/>
          <w:color w:val="auto"/>
          <w:sz w:val="24"/>
          <w:szCs w:val="24"/>
          <w:lang w:val="en-US" w:eastAsia="en-US" w:bidi="en-US"/>
        </w:rPr>
        <w:t>Bei kurzfristiger Vermietung – Wenn das Widerrufsrecht noch läuft und bereits vermietet wird:</w:t>
      </w:r>
    </w:p>
    <w:p>
      <w:pPr>
        <w:overflowPunct w:val="false"/>
        <w:rPr/>
      </w:pPr>
      <w:r>
        <w:rPr>
          <w:rFonts w:ascii="Liberation Serif" w:hAnsi="Liberation Serif" w:eastAsia="DejaVu Sans" w:cs="DejaVu Sans"/>
          <w:color w:val="auto"/>
          <w:sz w:val="24"/>
          <w:szCs w:val="24"/>
          <w:lang w:val="en-US" w:eastAsia="en-US" w:bidi="en-US"/>
        </w:rPr>
        <w:t>Dann benötigen Sie eine ausdrückliche und nachweisliche Zustimmung zur vorzeitigen Vertragsdurchführung, ggf. Erlöschen des Widerrufsrechts  bzw. Wertersatz nach folgendem Muster:</w:t>
      </w:r>
    </w:p>
    <w:p>
      <w:pPr>
        <w:overflowPunct w:val="false"/>
        <w:rPr/>
      </w:pPr>
      <w:r>
        <w:rPr>
          <w:rFonts w:ascii="Liberation Serif" w:hAnsi="Liberation Serif" w:eastAsia="DejaVu Sans" w:cs="DejaVu Sans"/>
          <w:color w:val="auto"/>
          <w:sz w:val="24"/>
          <w:szCs w:val="24"/>
          <w:lang w:val="en-US" w:eastAsia="en-US" w:bidi="en-US"/>
        </w:rPr>
      </w:r>
    </w:p>
    <w:p>
      <w:pPr>
        <w:overflowPunct w:val="false"/>
        <w:rPr/>
      </w:pPr>
      <w:r>
        <w:rPr>
          <w:rFonts w:ascii="Liberation Serif" w:hAnsi="Liberation Serif" w:eastAsia="DejaVu Sans" w:cs="DejaVu Sans"/>
          <w:color w:val="auto"/>
          <w:sz w:val="24"/>
          <w:szCs w:val="24"/>
          <w:lang w:val="en-US" w:eastAsia="en-US" w:bidi="en-US"/>
        </w:rPr>
        <w:t>Verbrauchererklärung über Beginn der Vermietung vor Ablauf der Widerrufsfrist</w:t>
      </w:r>
    </w:p>
    <w:p>
      <w:pPr>
        <w:overflowPunct w:val="false"/>
        <w:rPr/>
      </w:pPr>
      <w:r>
        <w:rPr>
          <w:rFonts w:ascii="Liberation Serif" w:hAnsi="Liberation Serif" w:eastAsia="DejaVu Sans" w:cs="DejaVu Sans"/>
          <w:color w:val="auto"/>
          <w:sz w:val="24"/>
          <w:szCs w:val="24"/>
          <w:lang w:val="en-US" w:eastAsia="en-US" w:bidi="en-US"/>
        </w:rPr>
        <w:t>Hiermit bestätige ich (Name des Verbrauchers) ...................................................................</w:t>
      </w:r>
    </w:p>
    <w:p>
      <w:pPr>
        <w:overflowPunct w:val="false"/>
        <w:rPr/>
      </w:pPr>
      <w:r>
        <w:rPr>
          <w:rFonts w:ascii="Liberation Serif" w:hAnsi="Liberation Serif" w:eastAsia="DejaVu Sans" w:cs="DejaVu Sans"/>
          <w:color w:val="auto"/>
          <w:sz w:val="24"/>
          <w:szCs w:val="24"/>
          <w:lang w:val="en-US" w:eastAsia="en-US" w:bidi="en-US"/>
        </w:rPr>
        <w:t>1. Dass ich darüber belehrt wurde, dass mir ein 14-tägiges Widerrufsrecht zusteht. Eine</w:t>
      </w:r>
    </w:p>
    <w:p>
      <w:pPr>
        <w:overflowPunct w:val="false"/>
        <w:rPr/>
      </w:pPr>
      <w:r>
        <w:rPr>
          <w:rFonts w:ascii="Liberation Serif" w:hAnsi="Liberation Serif" w:eastAsia="DejaVu Sans" w:cs="DejaVu Sans"/>
          <w:color w:val="auto"/>
          <w:sz w:val="24"/>
          <w:szCs w:val="24"/>
          <w:lang w:val="en-US" w:eastAsia="en-US" w:bidi="en-US"/>
        </w:rPr>
        <w:t>entsprechende Widerrufsbelehrung und ein Muster-Widerrufsformular wurden mir</w:t>
      </w:r>
    </w:p>
    <w:p>
      <w:pPr>
        <w:overflowPunct w:val="false"/>
        <w:rPr/>
      </w:pPr>
      <w:r>
        <w:rPr>
          <w:rFonts w:ascii="Liberation Serif" w:hAnsi="Liberation Serif" w:eastAsia="DejaVu Sans" w:cs="DejaVu Sans"/>
          <w:color w:val="auto"/>
          <w:sz w:val="24"/>
          <w:szCs w:val="24"/>
          <w:lang w:val="en-US" w:eastAsia="en-US" w:bidi="en-US"/>
        </w:rPr>
        <w:t>ausgehändigt.</w:t>
      </w:r>
    </w:p>
    <w:p>
      <w:pPr>
        <w:overflowPunct w:val="false"/>
        <w:rPr/>
      </w:pPr>
      <w:r>
        <w:rPr>
          <w:rFonts w:ascii="Liberation Serif" w:hAnsi="Liberation Serif" w:eastAsia="DejaVu Sans" w:cs="DejaVu Sans"/>
          <w:color w:val="auto"/>
          <w:sz w:val="24"/>
          <w:szCs w:val="24"/>
          <w:lang w:val="en-US" w:eastAsia="en-US" w:bidi="en-US"/>
        </w:rPr>
        <w:t>2. Dass ich ausdrücklich zustimme, dass die Mietzeit der  Gegenstände vor Ablauf der</w:t>
      </w:r>
    </w:p>
    <w:p>
      <w:pPr>
        <w:overflowPunct w:val="false"/>
        <w:rPr/>
      </w:pPr>
      <w:r>
        <w:rPr>
          <w:rFonts w:ascii="Liberation Serif" w:hAnsi="Liberation Serif" w:eastAsia="DejaVu Sans" w:cs="DejaVu Sans"/>
          <w:color w:val="auto"/>
          <w:sz w:val="24"/>
          <w:szCs w:val="24"/>
          <w:lang w:val="en-US" w:eastAsia="en-US" w:bidi="en-US"/>
        </w:rPr>
        <w:t>Widerrufsfrist beginnt.</w:t>
      </w:r>
    </w:p>
    <w:p>
      <w:pPr>
        <w:overflowPunct w:val="false"/>
        <w:rPr/>
      </w:pPr>
      <w:r>
        <w:rPr>
          <w:rFonts w:ascii="Liberation Serif" w:hAnsi="Liberation Serif" w:eastAsia="DejaVu Sans" w:cs="DejaVu Sans"/>
          <w:color w:val="auto"/>
          <w:sz w:val="24"/>
          <w:szCs w:val="24"/>
          <w:lang w:val="en-US" w:eastAsia="en-US" w:bidi="en-US"/>
        </w:rPr>
        <w:t>3. Dass ich darüber in Kenntnis gesetzt wurde, dass ich mein Widerrufsrecht bei</w:t>
      </w:r>
    </w:p>
    <w:p>
      <w:pPr>
        <w:overflowPunct w:val="false"/>
        <w:rPr/>
      </w:pPr>
      <w:r>
        <w:rPr>
          <w:rFonts w:ascii="Liberation Serif" w:hAnsi="Liberation Serif" w:eastAsia="DejaVu Sans" w:cs="DejaVu Sans"/>
          <w:color w:val="auto"/>
          <w:sz w:val="24"/>
          <w:szCs w:val="24"/>
          <w:lang w:val="en-US" w:eastAsia="en-US" w:bidi="en-US"/>
        </w:rPr>
        <w:t>vollständiger Vertragserfüllung verliere.</w:t>
      </w:r>
    </w:p>
    <w:p>
      <w:pPr>
        <w:overflowPunct w:val="false"/>
        <w:rPr/>
      </w:pPr>
      <w:r>
        <w:rPr>
          <w:rFonts w:ascii="Liberation Serif" w:hAnsi="Liberation Serif" w:eastAsia="DejaVu Sans" w:cs="DejaVu Sans"/>
          <w:color w:val="auto"/>
          <w:sz w:val="24"/>
          <w:szCs w:val="24"/>
          <w:lang w:val="en-US" w:eastAsia="en-US" w:bidi="en-US"/>
        </w:rPr>
        <w:t>4. Dass ich für den Fall, dass ich vor vollständiger Vertragserfüllung den Vertrag widerrufe, für die bis zum Widerruf erbrachten Leistungen bzw. Vermietung einen Wertersatz zu leisten habe.</w:t>
      </w:r>
    </w:p>
    <w:p>
      <w:pPr>
        <w:overflowPunct w:val="false"/>
        <w:rPr/>
      </w:pPr>
      <w:r>
        <w:rPr>
          <w:rFonts w:ascii="Liberation Serif" w:hAnsi="Liberation Serif" w:eastAsia="DejaVu Sans" w:cs="DejaVu Sans"/>
          <w:color w:val="auto"/>
          <w:sz w:val="24"/>
          <w:szCs w:val="24"/>
          <w:lang w:val="en-US" w:eastAsia="en-US" w:bidi="en-US"/>
        </w:rPr>
        <w:t>___________________ __________</w:t>
      </w:r>
    </w:p>
    <w:p>
      <w:pPr>
        <w:overflowPunct w:val="false"/>
        <w:rPr/>
      </w:pPr>
      <w:r>
        <w:rPr>
          <w:rFonts w:ascii="Liberation Serif" w:hAnsi="Liberation Serif" w:eastAsia="DejaVu Sans" w:cs="DejaVu Sans"/>
          <w:color w:val="auto"/>
          <w:sz w:val="24"/>
          <w:szCs w:val="24"/>
          <w:lang w:val="en-US" w:eastAsia="en-US" w:bidi="en-US"/>
        </w:rPr>
        <w:t>Datum Unterschrift</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555555"/>
        <w:sz w:val="16"/>
        <w:szCs w:val="16"/>
      </w:rPr>
      <w:t xml:space="preserve">Seite </w:t>
    </w:r>
    <w:r>
      <w:rPr>
        <w:color w:val="555555"/>
        <w:sz w:val="16"/>
        <w:szCs w:val="16"/>
      </w:rPr>
      <w:fldChar w:fldCharType="begin"/>
    </w:r>
    <w:r>
      <w:rPr>
        <w:sz w:val="16"/>
        <w:szCs w:val="16"/>
        <w:color w:val="555555"/>
      </w:rPr>
      <w:instrText xml:space="preserve"> PAGE </w:instrText>
    </w:r>
    <w:r>
      <w:rPr>
        <w:sz w:val="16"/>
        <w:szCs w:val="16"/>
        <w:color w:val="555555"/>
      </w:rPr>
      <w:fldChar w:fldCharType="separate"/>
    </w:r>
    <w:r>
      <w:rPr>
        <w:sz w:val="16"/>
        <w:szCs w:val="16"/>
        <w:color w:val="555555"/>
      </w:rPr>
      <w:t>8</w:t>
    </w:r>
    <w:r>
      <w:rPr>
        <w:sz w:val="16"/>
        <w:szCs w:val="16"/>
        <w:color w:val="555555"/>
      </w:rPr>
      <w:fldChar w:fldCharType="end"/>
    </w:r>
    <w:r>
      <w:rPr>
        <w:color w:val="555555"/>
        <w:sz w:val="16"/>
        <w:szCs w:val="16"/>
      </w:rPr>
      <w:t xml:space="preserve"> von </w:t>
    </w:r>
    <w:r>
      <w:rPr>
        <w:color w:val="555555"/>
        <w:sz w:val="16"/>
        <w:szCs w:val="16"/>
      </w:rPr>
      <w:fldChar w:fldCharType="begin"/>
    </w:r>
    <w:r>
      <w:rPr>
        <w:sz w:val="16"/>
        <w:szCs w:val="16"/>
        <w:color w:val="555555"/>
      </w:rPr>
      <w:instrText xml:space="preserve"> NUMPAGES </w:instrText>
    </w:r>
    <w:r>
      <w:rPr>
        <w:sz w:val="16"/>
        <w:szCs w:val="16"/>
        <w:color w:val="555555"/>
      </w:rPr>
      <w:fldChar w:fldCharType="separate"/>
    </w:r>
    <w:r>
      <w:rPr>
        <w:sz w:val="16"/>
        <w:szCs w:val="16"/>
        <w:color w:val="555555"/>
      </w:rPr>
      <w:t>8</w:t>
    </w:r>
    <w:r>
      <w:rPr>
        <w:sz w:val="16"/>
        <w:szCs w:val="16"/>
        <w:color w:val="555555"/>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555555"/>
        <w:sz w:val="16"/>
        <w:szCs w:val="16"/>
      </w:rPr>
      <w:t xml:space="preserve">Seite </w:t>
    </w:r>
    <w:r>
      <w:rPr>
        <w:color w:val="555555"/>
        <w:sz w:val="16"/>
        <w:szCs w:val="16"/>
      </w:rPr>
      <w:fldChar w:fldCharType="begin"/>
    </w:r>
    <w:r>
      <w:rPr>
        <w:sz w:val="16"/>
        <w:szCs w:val="16"/>
        <w:color w:val="555555"/>
      </w:rPr>
      <w:instrText xml:space="preserve"> PAGE </w:instrText>
    </w:r>
    <w:r>
      <w:rPr>
        <w:sz w:val="16"/>
        <w:szCs w:val="16"/>
        <w:color w:val="555555"/>
      </w:rPr>
      <w:fldChar w:fldCharType="separate"/>
    </w:r>
    <w:r>
      <w:rPr>
        <w:sz w:val="16"/>
        <w:szCs w:val="16"/>
        <w:color w:val="555555"/>
      </w:rPr>
      <w:t>8</w:t>
    </w:r>
    <w:r>
      <w:rPr>
        <w:sz w:val="16"/>
        <w:szCs w:val="16"/>
        <w:color w:val="555555"/>
      </w:rPr>
      <w:fldChar w:fldCharType="end"/>
    </w:r>
    <w:r>
      <w:rPr>
        <w:color w:val="555555"/>
        <w:sz w:val="16"/>
        <w:szCs w:val="16"/>
      </w:rPr>
      <w:t xml:space="preserve"> von </w:t>
    </w:r>
    <w:r>
      <w:rPr>
        <w:color w:val="555555"/>
        <w:sz w:val="16"/>
        <w:szCs w:val="16"/>
      </w:rPr>
      <w:fldChar w:fldCharType="begin"/>
    </w:r>
    <w:r>
      <w:rPr>
        <w:sz w:val="16"/>
        <w:szCs w:val="16"/>
        <w:color w:val="555555"/>
      </w:rPr>
      <w:instrText xml:space="preserve"> NUMPAGES </w:instrText>
    </w:r>
    <w:r>
      <w:rPr>
        <w:sz w:val="16"/>
        <w:szCs w:val="16"/>
        <w:color w:val="555555"/>
      </w:rPr>
      <w:fldChar w:fldCharType="separate"/>
    </w:r>
    <w:r>
      <w:rPr>
        <w:sz w:val="16"/>
        <w:szCs w:val="16"/>
        <w:color w:val="555555"/>
      </w:rPr>
      <w:t>8</w:t>
    </w:r>
    <w:r>
      <w:rPr>
        <w:sz w:val="16"/>
        <w:szCs w:val="16"/>
        <w:color w:val="555555"/>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 w:space="4" w:color="CCCCCC"/>
      </w:pBdr>
      <w:jc w:val="right"/>
      <w:rPr/>
    </w:pPr>
    <w:r>
      <w:rPr>
        <w:color w:val="555555"/>
        <w:sz w:val="16"/>
        <w:szCs w:val="16"/>
      </w:rPr>
      <w:t>Carry Golf – Mietbedingungen Privatkunden – Stand 24.08.2026 – Rev. 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 w:space="4" w:color="CCCCCC"/>
      </w:pBdr>
      <w:jc w:val="right"/>
      <w:rPr/>
    </w:pPr>
    <w:r>
      <w:rPr>
        <w:color w:val="555555"/>
        <w:sz w:val="16"/>
        <w:szCs w:val="16"/>
      </w:rPr>
      <w:t>Carry Golf – Mietbedingungen Privatkunden – Stand 24.08.2026 – Rev. 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trackRevisions/>
  <w:defaultTabStop w:val="708"/>
  <w:autoHyphenation w:val="true"/>
  <w:compat>
    <w:compatSetting w:name="compatibilityMode" w:uri="http://schemas.microsoft.com/office/word" w:val="12"/>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color w:val="1A1A1A"/>
        <w:sz w:val="21"/>
        <w:szCs w:val="21"/>
        <w:lang w:val="de-DE" w:eastAsia="de-DE"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Calibri" w:hAnsi="Calibri" w:eastAsia="Calibri" w:cs="Calibri"/>
      <w:color w:val="1A1A1A"/>
      <w:kern w:val="0"/>
      <w:sz w:val="21"/>
      <w:szCs w:val="21"/>
      <w:lang w:val="de-DE" w:eastAsia="de-DE" w:bidi="ar-SA"/>
    </w:rPr>
  </w:style>
  <w:style w:type="paragraph" w:styleId="Heading1">
    <w:name w:val="Heading 1"/>
    <w:qFormat/>
    <w:pPr>
      <w:widowControl/>
      <w:bidi w:val="0"/>
      <w:spacing w:before="0" w:after="200"/>
      <w:jc w:val="left"/>
      <w:outlineLvl w:val="0"/>
    </w:pPr>
    <w:rPr>
      <w:rFonts w:ascii="Calibri" w:hAnsi="Calibri" w:eastAsia="Calibri" w:cs="Calibri"/>
      <w:b/>
      <w:bCs/>
      <w:color w:val="1A1A1A"/>
      <w:kern w:val="0"/>
      <w:sz w:val="34"/>
      <w:szCs w:val="34"/>
      <w:lang w:val="de-DE" w:eastAsia="de-DE" w:bidi="ar-SA"/>
    </w:rPr>
  </w:style>
  <w:style w:type="paragraph" w:styleId="Heading2">
    <w:name w:val="Heading 2"/>
    <w:qFormat/>
    <w:pPr>
      <w:widowControl/>
      <w:bidi w:val="0"/>
      <w:spacing w:before="0" w:after="0"/>
      <w:jc w:val="left"/>
      <w:outlineLvl w:val="1"/>
    </w:pPr>
    <w:rPr>
      <w:rFonts w:ascii="Calibri" w:hAnsi="Calibri" w:eastAsia="Calibri" w:cs="Calibri"/>
      <w:b/>
      <w:bCs/>
      <w:color w:val="1A1A1A"/>
      <w:kern w:val="0"/>
      <w:sz w:val="26"/>
      <w:szCs w:val="26"/>
      <w:lang w:val="de-DE" w:eastAsia="de-DE" w:bidi="ar-SA"/>
    </w:rPr>
  </w:style>
  <w:style w:type="paragraph" w:styleId="Heading3">
    <w:name w:val="Heading 3"/>
    <w:qFormat/>
    <w:pPr>
      <w:widowControl/>
      <w:bidi w:val="0"/>
      <w:spacing w:before="0" w:after="0"/>
      <w:jc w:val="left"/>
      <w:outlineLvl w:val="2"/>
    </w:pPr>
    <w:rPr>
      <w:rFonts w:ascii="Calibri" w:hAnsi="Calibri" w:eastAsia="Calibri" w:cs="Calibri"/>
      <w:color w:val="1F4D78"/>
      <w:kern w:val="0"/>
      <w:sz w:val="24"/>
      <w:szCs w:val="24"/>
      <w:lang w:val="de-DE" w:eastAsia="de-DE" w:bidi="ar-SA"/>
    </w:rPr>
  </w:style>
  <w:style w:type="paragraph" w:styleId="Heading4">
    <w:name w:val="Heading 4"/>
    <w:qFormat/>
    <w:pPr>
      <w:widowControl/>
      <w:bidi w:val="0"/>
      <w:spacing w:before="0" w:after="0"/>
      <w:jc w:val="left"/>
      <w:outlineLvl w:val="3"/>
    </w:pPr>
    <w:rPr>
      <w:rFonts w:ascii="Calibri" w:hAnsi="Calibri" w:eastAsia="Calibri" w:cs="Calibri"/>
      <w:i/>
      <w:iCs/>
      <w:color w:val="2E74B5"/>
      <w:kern w:val="0"/>
      <w:sz w:val="21"/>
      <w:szCs w:val="21"/>
      <w:lang w:val="de-DE" w:eastAsia="de-DE" w:bidi="ar-SA"/>
    </w:rPr>
  </w:style>
  <w:style w:type="paragraph" w:styleId="Heading5">
    <w:name w:val="Heading 5"/>
    <w:qFormat/>
    <w:pPr>
      <w:widowControl/>
      <w:bidi w:val="0"/>
      <w:spacing w:before="0" w:after="0"/>
      <w:jc w:val="left"/>
      <w:outlineLvl w:val="4"/>
    </w:pPr>
    <w:rPr>
      <w:rFonts w:ascii="Calibri" w:hAnsi="Calibri" w:eastAsia="Calibri" w:cs="Calibri"/>
      <w:color w:val="2E74B5"/>
      <w:kern w:val="0"/>
      <w:sz w:val="21"/>
      <w:szCs w:val="21"/>
      <w:lang w:val="de-DE" w:eastAsia="de-DE" w:bidi="ar-SA"/>
    </w:rPr>
  </w:style>
  <w:style w:type="paragraph" w:styleId="Heading6">
    <w:name w:val="Heading 6"/>
    <w:qFormat/>
    <w:pPr>
      <w:widowControl/>
      <w:bidi w:val="0"/>
      <w:spacing w:before="0" w:after="0"/>
      <w:jc w:val="left"/>
      <w:outlineLvl w:val="5"/>
    </w:pPr>
    <w:rPr>
      <w:rFonts w:ascii="Calibri" w:hAnsi="Calibri" w:eastAsia="Calibri" w:cs="Calibri"/>
      <w:color w:val="1F4D78"/>
      <w:kern w:val="0"/>
      <w:sz w:val="21"/>
      <w:szCs w:val="21"/>
      <w:lang w:val="de-DE" w:eastAsia="de-DE"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unotentextZchn" w:customStyle="1">
    <w:name w:val="Fußnotentext Zchn"/>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ntextZchn" w:customStyle="1">
    <w:name w:val="Endnotentext Zchn"/>
    <w:link w:val="EndnoteText"/>
    <w:uiPriority w:val="99"/>
    <w:semiHidden/>
    <w:unhideWhenUsed/>
    <w:qFormat/>
    <w:rPr>
      <w:sz w:val="20"/>
      <w:szCs w:val="20"/>
    </w:rPr>
  </w:style>
  <w:style w:type="character" w:styleId="annotationreference">
    <w:name w:val="annotation reference"/>
    <w:basedOn w:val="DefaultParagraphFont"/>
    <w:uiPriority w:val="99"/>
    <w:semiHidden/>
    <w:unhideWhenUsed/>
    <w:qFormat/>
    <w:rsid w:val="00db6021"/>
    <w:rPr>
      <w:sz w:val="16"/>
      <w:szCs w:val="16"/>
    </w:rPr>
  </w:style>
  <w:style w:type="character" w:styleId="KommentartextZchn" w:customStyle="1">
    <w:name w:val="Kommentartext Zchn"/>
    <w:basedOn w:val="DefaultParagraphFont"/>
    <w:link w:val="AnnotationText"/>
    <w:uiPriority w:val="99"/>
    <w:semiHidden/>
    <w:qFormat/>
    <w:rsid w:val="00db6021"/>
    <w:rPr>
      <w:sz w:val="20"/>
      <w:szCs w:val="20"/>
    </w:rPr>
  </w:style>
  <w:style w:type="character" w:styleId="KommentarthemaZchn" w:customStyle="1">
    <w:name w:val="Kommentarthema Zchn"/>
    <w:basedOn w:val="KommentartextZchn"/>
    <w:link w:val="annotationsubject"/>
    <w:uiPriority w:val="99"/>
    <w:semiHidden/>
    <w:qFormat/>
    <w:rsid w:val="00db6021"/>
    <w:rPr>
      <w:b/>
      <w:bCs/>
      <w:sz w:val="20"/>
      <w:szCs w:val="20"/>
    </w:rPr>
  </w:style>
  <w:style w:type="character" w:styleId="SprechblasentextZchn" w:customStyle="1">
    <w:name w:val="Sprechblasentext Zchn"/>
    <w:basedOn w:val="DefaultParagraphFont"/>
    <w:link w:val="BalloonText"/>
    <w:uiPriority w:val="99"/>
    <w:semiHidden/>
    <w:qFormat/>
    <w:rsid w:val="00db6021"/>
    <w:rPr>
      <w:rFonts w:ascii="Tahoma" w:hAnsi="Tahoma" w:cs="Tahoma"/>
      <w:sz w:val="16"/>
      <w:szCs w:val="16"/>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qFormat/>
    <w:pPr>
      <w:widowControl/>
      <w:bidi w:val="0"/>
      <w:spacing w:before="0" w:after="0"/>
      <w:jc w:val="left"/>
    </w:pPr>
    <w:rPr>
      <w:rFonts w:ascii="Calibri" w:hAnsi="Calibri" w:eastAsia="Calibri" w:cs="Calibri"/>
      <w:color w:val="1A1A1A"/>
      <w:kern w:val="0"/>
      <w:sz w:val="56"/>
      <w:szCs w:val="56"/>
      <w:lang w:val="de-DE" w:eastAsia="de-DE" w:bidi="ar-SA"/>
    </w:rPr>
  </w:style>
  <w:style w:type="paragraph" w:styleId="Fett1" w:customStyle="1">
    <w:name w:val="Fett1"/>
    <w:qFormat/>
    <w:pPr>
      <w:widowControl/>
      <w:bidi w:val="0"/>
      <w:spacing w:before="0" w:after="0"/>
      <w:jc w:val="left"/>
    </w:pPr>
    <w:rPr>
      <w:rFonts w:ascii="Calibri" w:hAnsi="Calibri" w:eastAsia="Calibri" w:cs="Calibri"/>
      <w:b/>
      <w:bCs/>
      <w:color w:val="1A1A1A"/>
      <w:kern w:val="0"/>
      <w:sz w:val="21"/>
      <w:szCs w:val="21"/>
      <w:lang w:val="de-DE" w:eastAsia="de-DE" w:bidi="ar-SA"/>
    </w:rPr>
  </w:style>
  <w:style w:type="paragraph" w:styleId="ListParagraph">
    <w:name w:val="List Paragraph"/>
    <w:qFormat/>
    <w:pPr>
      <w:widowControl/>
      <w:bidi w:val="0"/>
      <w:spacing w:before="0" w:after="0"/>
      <w:jc w:val="left"/>
    </w:pPr>
    <w:rPr>
      <w:rFonts w:ascii="Calibri" w:hAnsi="Calibri" w:eastAsia="Calibri" w:cs="Calibri"/>
      <w:color w:val="1A1A1A"/>
      <w:kern w:val="0"/>
      <w:sz w:val="21"/>
      <w:szCs w:val="21"/>
      <w:lang w:val="de-DE" w:eastAsia="de-DE" w:bidi="ar-SA"/>
    </w:rPr>
  </w:style>
  <w:style w:type="paragraph" w:styleId="FootnoteText">
    <w:name w:val="Footnote Text"/>
    <w:link w:val="FunotentextZchn"/>
    <w:uiPriority w:val="99"/>
    <w:semiHidden/>
    <w:unhideWhenUsed/>
    <w:pPr>
      <w:widowControl/>
      <w:bidi w:val="0"/>
      <w:spacing w:before="0" w:after="0"/>
      <w:jc w:val="left"/>
    </w:pPr>
    <w:rPr>
      <w:rFonts w:ascii="Calibri" w:hAnsi="Calibri" w:eastAsia="Calibri" w:cs="Calibri"/>
      <w:color w:val="1A1A1A"/>
      <w:kern w:val="0"/>
      <w:sz w:val="20"/>
      <w:szCs w:val="20"/>
      <w:lang w:val="de-DE" w:eastAsia="de-DE" w:bidi="ar-SA"/>
    </w:rPr>
  </w:style>
  <w:style w:type="paragraph" w:styleId="EndnoteText">
    <w:name w:val="Endnote Text"/>
    <w:link w:val="EndnotentextZchn"/>
    <w:uiPriority w:val="99"/>
    <w:semiHidden/>
    <w:unhideWhenUsed/>
    <w:pPr>
      <w:widowControl/>
      <w:bidi w:val="0"/>
      <w:spacing w:before="0" w:after="0"/>
      <w:jc w:val="left"/>
    </w:pPr>
    <w:rPr>
      <w:rFonts w:ascii="Calibri" w:hAnsi="Calibri" w:eastAsia="Calibri" w:cs="Calibri"/>
      <w:color w:val="1A1A1A"/>
      <w:kern w:val="0"/>
      <w:sz w:val="20"/>
      <w:szCs w:val="20"/>
      <w:lang w:val="de-DE" w:eastAsia="de-DE" w:bidi="ar-SA"/>
    </w:rPr>
  </w:style>
  <w:style w:type="paragraph" w:styleId="AnnotationText">
    <w:name w:val="Annotation Text"/>
    <w:basedOn w:val="Normal"/>
    <w:link w:val="KommentartextZchn"/>
    <w:uiPriority w:val="99"/>
    <w:semiHidden/>
    <w:unhideWhenUsed/>
    <w:rsid w:val="00db6021"/>
    <w:pPr/>
    <w:rPr>
      <w:sz w:val="20"/>
      <w:szCs w:val="20"/>
    </w:rPr>
  </w:style>
  <w:style w:type="paragraph" w:styleId="annotationsubject">
    <w:name w:val="annotation subject"/>
    <w:basedOn w:val="AnnotationText"/>
    <w:next w:val="AnnotationText"/>
    <w:link w:val="KommentarthemaZchn"/>
    <w:uiPriority w:val="99"/>
    <w:semiHidden/>
    <w:unhideWhenUsed/>
    <w:qFormat/>
    <w:rsid w:val="00db6021"/>
    <w:pPr/>
    <w:rPr>
      <w:b/>
      <w:bCs/>
    </w:rPr>
  </w:style>
  <w:style w:type="paragraph" w:styleId="BalloonText">
    <w:name w:val="Balloon Text"/>
    <w:basedOn w:val="Normal"/>
    <w:link w:val="SprechblasentextZchn"/>
    <w:uiPriority w:val="99"/>
    <w:semiHidden/>
    <w:unhideWhenUsed/>
    <w:qFormat/>
    <w:rsid w:val="00db6021"/>
    <w:pPr/>
    <w:rPr>
      <w:rFonts w:ascii="Tahoma" w:hAnsi="Tahoma" w:cs="Tahoma"/>
      <w:sz w:val="16"/>
      <w:szCs w:val="16"/>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comments" Target="comment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7</Pages>
  <Words>697</Words>
  <Characters>4669</Characters>
  <CharactersWithSpaces>5365</CharactersWithSpaces>
  <Paragraphs>20</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2026-08-24T11:33:00Z</dcterms:created>
  <dc:creator>Un-named</dc:creator>
  <dc:description/>
  <dc:language>en-US</dc:language>
  <cp:lastModifiedBy/>
  <cp:lastPrinted>2026-08-24T15:37:00Z</cp:lastPrinted>
  <dcterms:modified xsi:type="dcterms:W3CDTF">2026-08-24T18:06:08Z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